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itemProps2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54" w:before="0" w:after="0"/>
        <w:jc w:val="right"/>
        <w:rPr>
          <w:rFonts w:ascii="Calibri" w:hAnsi="Calibri" w:eastAsia="Calibri" w:cs="Times New Roman"/>
          <w:b/>
          <w:b/>
          <w:bCs/>
        </w:rPr>
      </w:pPr>
      <w:r>
        <w:rPr>
          <w:rFonts w:eastAsia="Calibri" w:cs="Times New Roman"/>
          <w:b/>
          <w:bCs/>
          <w:sz w:val="28"/>
          <w:szCs w:val="28"/>
        </w:rPr>
        <w:tab/>
        <w:tab/>
        <w:tab/>
        <w:tab/>
        <w:tab/>
        <w:tab/>
        <w:tab/>
        <w:tab/>
      </w:r>
      <w:r>
        <w:rPr>
          <w:rFonts w:eastAsia="Calibri" w:cs="Times New Roman"/>
          <w:b/>
          <w:bCs/>
        </w:rPr>
        <w:t xml:space="preserve">Załącznik nr 1 do Regulaminu naboru wniosków o przyznanie pomocy w ramach </w:t>
      </w:r>
    </w:p>
    <w:p>
      <w:pPr>
        <w:pStyle w:val="Normal"/>
        <w:spacing w:lineRule="auto" w:line="254" w:before="0" w:after="0"/>
        <w:jc w:val="right"/>
        <w:rPr>
          <w:rFonts w:ascii="Calibri" w:hAnsi="Calibri" w:eastAsia="Calibri" w:cs="Times New Roman"/>
          <w:b/>
          <w:b/>
          <w:bCs/>
        </w:rPr>
      </w:pPr>
      <w:r>
        <w:rPr>
          <w:rFonts w:eastAsia="Calibri" w:cs="Times New Roman"/>
          <w:b/>
          <w:bCs/>
        </w:rPr>
        <w:t>Planu Strategicznego dla Wspólnej Polityki Rolnej na lata 2023-2027</w:t>
      </w:r>
    </w:p>
    <w:p>
      <w:pPr>
        <w:pStyle w:val="Normal"/>
        <w:spacing w:lineRule="auto" w:line="254" w:before="0" w:after="120"/>
        <w:jc w:val="right"/>
        <w:rPr>
          <w:rFonts w:ascii="Calibri" w:hAnsi="Calibri" w:eastAsia="Calibri" w:cs="Times New Roman"/>
          <w:b/>
          <w:b/>
          <w:bCs/>
        </w:rPr>
      </w:pPr>
      <w:r>
        <w:rPr>
          <w:rFonts w:eastAsia="Calibri" w:cs="Times New Roman"/>
          <w:b/>
          <w:bCs/>
        </w:rPr>
        <w:t xml:space="preserve"> </w:t>
      </w:r>
      <w:r>
        <w:rPr>
          <w:rFonts w:eastAsia="Calibri" w:cs="Times New Roman"/>
          <w:b/>
          <w:bCs/>
        </w:rPr>
        <w:t>dla Interwencji 13.1 - komponent Wdrażanie LSR</w:t>
      </w:r>
    </w:p>
    <w:p>
      <w:pPr>
        <w:pStyle w:val="Normal"/>
        <w:spacing w:lineRule="auto" w:line="252"/>
        <w:rPr>
          <w:rFonts w:ascii="Calibri" w:hAnsi="Calibri" w:eastAsia="Calibri" w:cs="Times New Roman"/>
          <w:b/>
          <w:b/>
          <w:bCs/>
          <w:sz w:val="28"/>
          <w:szCs w:val="28"/>
        </w:rPr>
      </w:pPr>
      <w:r>
        <w:rPr>
          <w:rFonts w:eastAsia="Calibri" w:cs="Times New Roman"/>
          <w:b/>
          <w:bCs/>
          <w:sz w:val="28"/>
          <w:szCs w:val="28"/>
        </w:rPr>
        <w:t>3.3. Podejmowanie i rozwój działalności gospodarczych w zakresie  usług medycznych, paramedycznych i opiekuńczych w nurcie deinstytucjonalizacji oraz usług wspierających rodziny</w:t>
      </w:r>
    </w:p>
    <w:p>
      <w:pPr>
        <w:pStyle w:val="Normal"/>
        <w:spacing w:lineRule="auto" w:line="254"/>
        <w:rPr>
          <w:rFonts w:ascii="Calibri" w:hAnsi="Calibri"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>Rozwój działalności gospodarczej</w:t>
      </w:r>
    </w:p>
    <w:tbl>
      <w:tblPr>
        <w:tblStyle w:val="Tabela-Siatka"/>
        <w:tblW w:w="13994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85"/>
        <w:gridCol w:w="11"/>
        <w:gridCol w:w="2105"/>
        <w:gridCol w:w="42"/>
        <w:gridCol w:w="9684"/>
        <w:gridCol w:w="1666"/>
      </w:tblGrid>
      <w:tr>
        <w:trPr/>
        <w:tc>
          <w:tcPr>
            <w:tcW w:w="13993" w:type="dxa"/>
            <w:gridSpan w:val="6"/>
            <w:tcBorders/>
            <w:shd w:color="auto" w:fill="F4B083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bCs/>
              </w:rPr>
            </w:pPr>
            <w:r>
              <w:rPr>
                <w:rFonts w:eastAsia="Calibri" w:cs="Times New Roman"/>
                <w:b/>
                <w:bCs/>
                <w:sz w:val="22"/>
                <w:szCs w:val="22"/>
              </w:rPr>
              <w:t>Kryteria dostępowe (dodatkowe)</w:t>
            </w:r>
          </w:p>
        </w:tc>
      </w:tr>
      <w:tr>
        <w:trPr/>
        <w:tc>
          <w:tcPr>
            <w:tcW w:w="485" w:type="dxa"/>
            <w:tcBorders/>
            <w:shd w:color="auto" w:fill="FBE4D5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bCs/>
              </w:rPr>
            </w:pPr>
            <w:r>
              <w:rPr>
                <w:rFonts w:eastAsia="Calibri" w:cs="Times New Roman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2116" w:type="dxa"/>
            <w:gridSpan w:val="2"/>
            <w:tcBorders/>
            <w:shd w:color="auto" w:fill="FBE4D5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bCs/>
              </w:rPr>
            </w:pPr>
            <w:r>
              <w:rPr>
                <w:rFonts w:eastAsia="Calibri" w:cs="Times New Roman"/>
                <w:b/>
                <w:bCs/>
                <w:sz w:val="22"/>
                <w:szCs w:val="22"/>
              </w:rPr>
              <w:t>Nazwa wskaźnika</w:t>
            </w:r>
          </w:p>
        </w:tc>
        <w:tc>
          <w:tcPr>
            <w:tcW w:w="9726" w:type="dxa"/>
            <w:gridSpan w:val="2"/>
            <w:tcBorders/>
            <w:shd w:color="auto" w:fill="FBE4D5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bCs/>
              </w:rPr>
            </w:pPr>
            <w:r>
              <w:rPr>
                <w:rFonts w:eastAsia="Calibri" w:cs="Times New Roman"/>
                <w:b/>
                <w:bCs/>
                <w:sz w:val="22"/>
                <w:szCs w:val="22"/>
              </w:rPr>
              <w:t>Opis kryterium</w:t>
            </w:r>
          </w:p>
        </w:tc>
        <w:tc>
          <w:tcPr>
            <w:tcW w:w="1666" w:type="dxa"/>
            <w:tcBorders/>
            <w:shd w:color="auto" w:fill="FBE4D5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bCs/>
              </w:rPr>
            </w:pPr>
            <w:r>
              <w:rPr>
                <w:rFonts w:eastAsia="Calibri" w:cs="Times New Roman"/>
                <w:b/>
                <w:bCs/>
                <w:sz w:val="22"/>
                <w:szCs w:val="22"/>
              </w:rPr>
              <w:t>Spełnianie kryterium dostępności (tak/nie)</w:t>
            </w:r>
          </w:p>
        </w:tc>
      </w:tr>
      <w:tr>
        <w:trPr/>
        <w:tc>
          <w:tcPr>
            <w:tcW w:w="485" w:type="dxa"/>
            <w:tcBorders/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Times New Roman"/>
                <w:sz w:val="22"/>
                <w:szCs w:val="22"/>
              </w:rPr>
            </w:pPr>
            <w:r>
              <w:rPr>
                <w:rFonts w:eastAsia="Calibri" w:cs="Times New Roman"/>
                <w:sz w:val="22"/>
                <w:szCs w:val="22"/>
              </w:rPr>
              <w:t>1.</w:t>
            </w:r>
          </w:p>
        </w:tc>
        <w:tc>
          <w:tcPr>
            <w:tcW w:w="2116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bCs/>
              </w:rPr>
            </w:pPr>
            <w:r>
              <w:rPr>
                <w:rFonts w:eastAsia="Calibri" w:cs="Times New Roman"/>
                <w:sz w:val="22"/>
                <w:szCs w:val="22"/>
              </w:rPr>
              <w:t xml:space="preserve">Realizacja wskaźników </w:t>
            </w:r>
          </w:p>
        </w:tc>
        <w:tc>
          <w:tcPr>
            <w:tcW w:w="9726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Times New Roman"/>
                <w:sz w:val="22"/>
                <w:szCs w:val="22"/>
              </w:rPr>
            </w:pPr>
            <w:r>
              <w:rPr>
                <w:rFonts w:eastAsia="Calibri" w:cs="Times New Roman"/>
                <w:sz w:val="22"/>
                <w:szCs w:val="22"/>
              </w:rPr>
              <w:t xml:space="preserve">Wnioskodawca w ramach operacji zwiększa o co najmniej 1 jednostkę wartość wskaźnika rezultatu. </w:t>
            </w:r>
          </w:p>
          <w:p>
            <w:pPr>
              <w:pStyle w:val="Normal"/>
              <w:spacing w:lineRule="auto" w:line="240" w:before="0" w:after="0"/>
              <w:rPr>
                <w:rFonts w:ascii="Calibri" w:hAnsi="Calibri" w:eastAsia="Calibri" w:cs="Times New Roman"/>
                <w:sz w:val="22"/>
                <w:szCs w:val="22"/>
              </w:rPr>
            </w:pPr>
            <w:r>
              <w:rPr>
                <w:rFonts w:eastAsia="Calibri" w:cs="Times New Roman"/>
                <w:sz w:val="22"/>
                <w:szCs w:val="22"/>
              </w:rPr>
              <w:t xml:space="preserve">Czy projekt prowadzi do osiągnięcia wskaźnika rezultatu: </w:t>
            </w:r>
          </w:p>
          <w:p>
            <w:pPr>
              <w:pStyle w:val="Normal"/>
              <w:spacing w:lineRule="auto" w:line="240" w:before="0" w:after="160"/>
              <w:ind w:left="720" w:hanging="0"/>
              <w:contextualSpacing/>
              <w:rPr>
                <w:rFonts w:ascii="Calibri" w:hAnsi="Calibri" w:eastAsia="Calibri" w:cs="Times New Roman"/>
                <w:sz w:val="22"/>
                <w:szCs w:val="22"/>
              </w:rPr>
            </w:pPr>
            <w:r>
              <w:rPr>
                <w:rFonts w:eastAsia="Calibri" w:cs="Times New Roman"/>
                <w:sz w:val="22"/>
                <w:szCs w:val="22"/>
              </w:rPr>
              <w:t xml:space="preserve">-wzrost gospodarczy i zatrudnienie na obszarach wiejskich: nowe miejsca pracy objęte wsparciem w ramach projektów WPR- utworzone miejsca pracy lub </w:t>
            </w:r>
          </w:p>
          <w:p>
            <w:pPr>
              <w:pStyle w:val="Normal"/>
              <w:spacing w:lineRule="auto" w:line="240" w:before="0" w:after="160"/>
              <w:ind w:left="720" w:hanging="0"/>
              <w:contextualSpacing/>
              <w:rPr>
                <w:rFonts w:ascii="Calibri" w:hAnsi="Calibri" w:eastAsia="Calibri" w:cs="Times New Roman"/>
                <w:sz w:val="22"/>
                <w:szCs w:val="22"/>
              </w:rPr>
            </w:pPr>
            <w:r>
              <w:rPr>
                <w:rFonts w:eastAsia="Calibri" w:cs="Times New Roman"/>
                <w:sz w:val="22"/>
                <w:szCs w:val="22"/>
              </w:rPr>
              <w:t>- rozwój gospodarki wiejskiej: liczba przedsiębiorstw wiejskich, w tym przedsiębiorstw biogospodarki, rozwiniętych dzięki wsparciu w ramach WPR</w:t>
            </w:r>
          </w:p>
          <w:p>
            <w:pPr>
              <w:pStyle w:val="Normal"/>
              <w:spacing w:lineRule="auto" w:line="240" w:before="0" w:after="0"/>
              <w:rPr>
                <w:rFonts w:ascii="Calibri" w:hAnsi="Calibri" w:eastAsia="Calibri" w:cs="Times New Roman"/>
                <w:sz w:val="22"/>
                <w:szCs w:val="22"/>
              </w:rPr>
            </w:pPr>
            <w:r>
              <w:rPr>
                <w:rFonts w:eastAsia="Calibri" w:cs="Times New Roman"/>
                <w:sz w:val="22"/>
                <w:szCs w:val="22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Calibri" w:hAnsi="Calibri" w:eastAsia="Calibri" w:cs="Times New Roman"/>
                <w:sz w:val="22"/>
                <w:szCs w:val="22"/>
              </w:rPr>
            </w:pPr>
            <w:r>
              <w:rPr>
                <w:rFonts w:eastAsia="Calibri" w:cs="Times New Roman"/>
                <w:sz w:val="22"/>
                <w:szCs w:val="22"/>
              </w:rPr>
              <w:t xml:space="preserve">Warunek uważa się za spełniony, jeśli projekt spełnił jedną z powyższych przesłanek. Poprzez utworzenie miejsca pracy rozumie się zatrudnienie na umowę u pracę na 1 pełen etat.  </w:t>
            </w:r>
          </w:p>
          <w:p>
            <w:pPr>
              <w:pStyle w:val="Normal"/>
              <w:spacing w:lineRule="auto" w:line="240" w:before="0" w:after="0"/>
              <w:rPr>
                <w:b/>
                <w:b/>
                <w:bCs/>
              </w:rPr>
            </w:pPr>
            <w:r>
              <w:rPr>
                <w:rFonts w:eastAsia="Calibri" w:cs="Times New Roman"/>
                <w:sz w:val="22"/>
                <w:szCs w:val="22"/>
              </w:rPr>
              <w:t>Weryfikacja przez LGD na podstawie zapisów wniosku o przyznanie pomocy.</w:t>
            </w:r>
          </w:p>
        </w:tc>
        <w:tc>
          <w:tcPr>
            <w:tcW w:w="166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bCs/>
              </w:rPr>
            </w:pPr>
            <w:r>
              <w:rPr>
                <w:rFonts w:eastAsia="Calibri" w:cs="Times New Roman"/>
                <w:sz w:val="22"/>
                <w:szCs w:val="22"/>
              </w:rPr>
              <w:t>Podlega uzupełnieniom</w:t>
            </w:r>
          </w:p>
        </w:tc>
      </w:tr>
      <w:tr>
        <w:trPr/>
        <w:tc>
          <w:tcPr>
            <w:tcW w:w="485" w:type="dxa"/>
            <w:tcBorders/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Times New Roman"/>
                <w:sz w:val="22"/>
                <w:szCs w:val="22"/>
              </w:rPr>
            </w:pPr>
            <w:r>
              <w:rPr>
                <w:rFonts w:eastAsia="Calibri" w:cs="Times New Roman"/>
                <w:sz w:val="22"/>
                <w:szCs w:val="22"/>
              </w:rPr>
              <w:t>2.</w:t>
            </w:r>
          </w:p>
        </w:tc>
        <w:tc>
          <w:tcPr>
            <w:tcW w:w="2116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bCs/>
              </w:rPr>
            </w:pPr>
            <w:r>
              <w:rPr>
                <w:rFonts w:eastAsia="Calibri" w:cs="Times New Roman"/>
                <w:sz w:val="22"/>
                <w:szCs w:val="22"/>
              </w:rPr>
              <w:t>Wyłączony Wnioskodawca</w:t>
            </w:r>
          </w:p>
        </w:tc>
        <w:tc>
          <w:tcPr>
            <w:tcW w:w="9726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Times New Roman"/>
                <w:sz w:val="22"/>
                <w:szCs w:val="22"/>
              </w:rPr>
            </w:pPr>
            <w:r>
              <w:rPr>
                <w:rFonts w:eastAsia="Calibri" w:cs="Times New Roman"/>
                <w:sz w:val="22"/>
                <w:szCs w:val="22"/>
              </w:rPr>
              <w:t>Ubiegającym się o wsparcie nie może być:</w:t>
            </w:r>
          </w:p>
          <w:p>
            <w:pPr>
              <w:pStyle w:val="Normal"/>
              <w:numPr>
                <w:ilvl w:val="0"/>
                <w:numId w:val="1"/>
              </w:numPr>
              <w:spacing w:lineRule="auto" w:line="240" w:before="0" w:after="160"/>
              <w:contextualSpacing/>
              <w:rPr>
                <w:rFonts w:ascii="Calibri" w:hAnsi="Calibri" w:eastAsia="Calibri" w:cs="Times New Roman"/>
                <w:sz w:val="22"/>
                <w:szCs w:val="22"/>
              </w:rPr>
            </w:pPr>
            <w:r>
              <w:rPr>
                <w:rFonts w:eastAsia="Calibri" w:cs="Times New Roman"/>
                <w:sz w:val="22"/>
                <w:szCs w:val="22"/>
              </w:rPr>
              <w:t>osoba fizyczna realizująca działania związane z wdrażaniem lokalnej strategii rozwoju, zatrudniona przez Stowarzyszenie „Bursztynowy Pasaż” lub pełniąca funkcję w Zarządzie Stowarzyszenia „Bursztynowy Pasaż” lub</w:t>
            </w:r>
          </w:p>
          <w:p>
            <w:pPr>
              <w:pStyle w:val="Normal"/>
              <w:numPr>
                <w:ilvl w:val="0"/>
                <w:numId w:val="1"/>
              </w:numPr>
              <w:spacing w:lineRule="auto" w:line="240" w:before="0" w:after="160"/>
              <w:contextualSpacing/>
              <w:rPr>
                <w:rFonts w:ascii="Calibri" w:hAnsi="Calibri" w:eastAsia="Calibri" w:cs="Times New Roman"/>
                <w:sz w:val="22"/>
                <w:szCs w:val="22"/>
              </w:rPr>
            </w:pPr>
            <w:r>
              <w:rPr>
                <w:rFonts w:eastAsia="Calibri" w:cs="Times New Roman"/>
                <w:sz w:val="22"/>
                <w:szCs w:val="22"/>
              </w:rPr>
              <w:t>podmiot, w którym osoby realizujące działania związane z wdrażaniem lokalnej strategii rozwoju, zatrudnione przez Stowarzyszenie „Bursztynowy Pasaż” lub pełniące funkcje w Zarządzie Stowarzyszenia „Bursztynowy Pasaż” są wspólnikami spółek prawa handlowego lub prowadzą działalność w formie spółki cywilnej.</w:t>
            </w:r>
          </w:p>
          <w:p>
            <w:pPr>
              <w:pStyle w:val="Normal"/>
              <w:spacing w:lineRule="auto" w:line="240" w:before="0" w:after="0"/>
              <w:rPr>
                <w:rFonts w:ascii="Calibri" w:hAnsi="Calibri" w:eastAsia="Calibri" w:cs="Times New Roman"/>
                <w:sz w:val="22"/>
                <w:szCs w:val="22"/>
              </w:rPr>
            </w:pPr>
            <w:r>
              <w:rPr>
                <w:rFonts w:eastAsia="Calibri" w:cs="Times New Roman"/>
                <w:sz w:val="22"/>
                <w:szCs w:val="22"/>
              </w:rPr>
            </w:r>
          </w:p>
          <w:p>
            <w:pPr>
              <w:pStyle w:val="Normal"/>
              <w:spacing w:lineRule="auto" w:line="240" w:before="0" w:after="0"/>
              <w:rPr>
                <w:b/>
                <w:b/>
                <w:bCs/>
              </w:rPr>
            </w:pPr>
            <w:r>
              <w:rPr>
                <w:rFonts w:eastAsia="Calibri" w:cs="Times New Roman"/>
                <w:sz w:val="22"/>
                <w:szCs w:val="22"/>
              </w:rPr>
              <w:t>Weryfikacja na podstawie umów wewnętrznych LGD oraz KRS/CEIDG.</w:t>
            </w:r>
          </w:p>
        </w:tc>
        <w:tc>
          <w:tcPr>
            <w:tcW w:w="166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bCs/>
              </w:rPr>
            </w:pPr>
            <w:r>
              <w:rPr>
                <w:rFonts w:eastAsia="Calibri" w:cs="Times New Roman"/>
                <w:sz w:val="22"/>
                <w:szCs w:val="22"/>
              </w:rPr>
              <w:t>Nie podlega uzupełnieniom</w:t>
            </w:r>
          </w:p>
        </w:tc>
      </w:tr>
      <w:tr>
        <w:trPr>
          <w:trHeight w:val="1970" w:hRule="atLeast"/>
        </w:trPr>
        <w:tc>
          <w:tcPr>
            <w:tcW w:w="48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Times New Roman"/>
                <w:sz w:val="22"/>
                <w:szCs w:val="22"/>
              </w:rPr>
            </w:pPr>
            <w:r>
              <w:rPr>
                <w:rFonts w:eastAsia="Calibri" w:cs="Times New Roman"/>
                <w:sz w:val="22"/>
                <w:szCs w:val="22"/>
              </w:rPr>
              <w:t>3.</w:t>
            </w:r>
          </w:p>
        </w:tc>
        <w:tc>
          <w:tcPr>
            <w:tcW w:w="2116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/>
                <w:sz w:val="22"/>
                <w:szCs w:val="22"/>
              </w:rPr>
            </w:pPr>
            <w:r>
              <w:rPr>
                <w:rFonts w:eastAsia="Calibri" w:cs="Calibri"/>
                <w:sz w:val="22"/>
                <w:szCs w:val="22"/>
              </w:rPr>
              <w:t>Zgodność z preferowanymi w LSR zakresami działalności gospodarczej</w:t>
            </w:r>
          </w:p>
        </w:tc>
        <w:tc>
          <w:tcPr>
            <w:tcW w:w="9726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W związku ze starzeniem się społeczeństwa, kolejkami do lekarzy specjalistów, trudnościami dzieci w nauce i w kontaktach społecznych, ubogą ofertą zajęć pozalekcyjnych zależy nam na wsparciu zawodów medycznych i około medycznych i wspierających rodziny.  Chcemy aby przedsiębiorcy świadczyli usługi dla osób w trudnej sytuacji, uwzględniając osoby, którym trudniej jest dostać się do ośrodków miejskich. Chcemy wspierać branże świadczące usługi wpierające rodziny w nauce, opiece nad dziećmi i innymi osobami zależnymi oraz wspierające ich rozwój i dające im wsparcie.</w:t>
            </w:r>
          </w:p>
          <w:p>
            <w:pPr>
              <w:pStyle w:val="Normal"/>
              <w:spacing w:lineRule="auto" w:line="240" w:before="0" w:after="0"/>
              <w:rPr>
                <w:rFonts w:ascii="Calibri" w:hAnsi="Calibri"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Calibri" w:hAnsi="Calibri"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85.51.Z</w:t>
              <w:tab/>
              <w:t>Pozostałe formy edukacji sportowej oraz zajęć sportowych i rekreacyjnych</w:t>
            </w:r>
          </w:p>
          <w:p>
            <w:pPr>
              <w:pStyle w:val="Normal"/>
              <w:spacing w:lineRule="auto" w:line="240" w:before="0" w:after="0"/>
              <w:rPr>
                <w:rFonts w:ascii="Calibri" w:hAnsi="Calibri"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85.52.Z</w:t>
              <w:tab/>
              <w:t>Pozostałe formy edukacji artystycznej</w:t>
            </w:r>
          </w:p>
          <w:p>
            <w:pPr>
              <w:pStyle w:val="Normal"/>
              <w:spacing w:lineRule="auto" w:line="240" w:before="0" w:after="0"/>
              <w:rPr>
                <w:rFonts w:ascii="Calibri" w:hAnsi="Calibri"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85.59.A Nauka języków obcych</w:t>
            </w:r>
          </w:p>
          <w:p>
            <w:pPr>
              <w:pStyle w:val="Normal"/>
              <w:spacing w:lineRule="auto" w:line="240" w:before="0" w:after="0"/>
              <w:rPr>
                <w:rFonts w:ascii="Calibri" w:hAnsi="Calibri"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85.59.D Pozostałe pozaszkolne formy edukacji, gdzie indziej niesklasyfikowane</w:t>
            </w:r>
          </w:p>
          <w:p>
            <w:pPr>
              <w:pStyle w:val="Normal"/>
              <w:spacing w:lineRule="auto" w:line="240" w:before="0" w:after="0"/>
              <w:rPr>
                <w:rFonts w:ascii="Calibri" w:hAnsi="Calibri"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85.69.Z Działalność wspomagająca edukację, gdzie indziej niesklasyfikowana</w:t>
            </w:r>
          </w:p>
          <w:p>
            <w:pPr>
              <w:pStyle w:val="Normal"/>
              <w:spacing w:lineRule="auto" w:line="240" w:before="0" w:after="0"/>
              <w:rPr>
                <w:rFonts w:ascii="Calibri" w:hAnsi="Calibri"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86.10.Z Działalność szpitali- z wyłączeniem szpitali dla których organem prowadzącym jest jst</w:t>
            </w:r>
          </w:p>
          <w:p>
            <w:pPr>
              <w:pStyle w:val="Normal"/>
              <w:spacing w:lineRule="auto" w:line="240" w:before="0" w:after="0"/>
              <w:rPr>
                <w:rFonts w:ascii="Calibri" w:hAnsi="Calibri"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86.21.Z Praktyka lekarska ogólna</w:t>
            </w:r>
          </w:p>
          <w:p>
            <w:pPr>
              <w:pStyle w:val="Normal"/>
              <w:spacing w:lineRule="auto" w:line="240" w:before="0" w:after="0"/>
              <w:rPr>
                <w:rFonts w:ascii="Calibri" w:hAnsi="Calibri"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86.22.Z. Praktyka lekarska specjalistyczna</w:t>
            </w:r>
          </w:p>
          <w:p>
            <w:pPr>
              <w:pStyle w:val="Normal"/>
              <w:spacing w:lineRule="auto" w:line="240" w:before="0" w:after="0"/>
              <w:rPr>
                <w:rFonts w:ascii="Calibri" w:hAnsi="Calibri"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86.23.Z Praktyka dentystyczna</w:t>
            </w:r>
          </w:p>
          <w:p>
            <w:pPr>
              <w:pStyle w:val="Normal"/>
              <w:spacing w:lineRule="auto" w:line="240" w:before="0" w:after="0"/>
              <w:rPr>
                <w:rFonts w:ascii="Calibri" w:hAnsi="Calibri"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86.92.Z Transport pacjentów karetką</w:t>
            </w:r>
          </w:p>
          <w:p>
            <w:pPr>
              <w:pStyle w:val="Normal"/>
              <w:spacing w:lineRule="auto" w:line="240" w:before="0" w:after="0"/>
              <w:rPr>
                <w:rFonts w:ascii="Calibri" w:hAnsi="Calibri"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86.93.Z Działalność psychologiczna i psychoterapeutyczna, z wyłączeniem lekarskiej</w:t>
            </w:r>
          </w:p>
          <w:p>
            <w:pPr>
              <w:pStyle w:val="Normal"/>
              <w:spacing w:lineRule="auto" w:line="240" w:before="0" w:after="0"/>
              <w:rPr>
                <w:rFonts w:ascii="Calibri" w:hAnsi="Calibri"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86.94.Z Działalność pielęgniarska i położnicza</w:t>
            </w:r>
          </w:p>
          <w:p>
            <w:pPr>
              <w:pStyle w:val="Normal"/>
              <w:spacing w:lineRule="auto" w:line="240" w:before="0" w:after="0"/>
              <w:rPr>
                <w:rFonts w:ascii="Calibri" w:hAnsi="Calibri"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86.95.Z</w:t>
              <w:tab/>
              <w:t>Działalność w zakresie fizjoterapii</w:t>
            </w:r>
          </w:p>
          <w:p>
            <w:pPr>
              <w:pStyle w:val="Normal"/>
              <w:spacing w:lineRule="auto" w:line="240" w:before="0" w:after="0"/>
              <w:rPr>
                <w:rFonts w:ascii="Calibri" w:hAnsi="Calibri"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86.96.Z</w:t>
              <w:tab/>
              <w:t>Działalność w zakresie medycyny tradycyjnej, uzupełniającej i alternatywnej</w:t>
            </w:r>
          </w:p>
          <w:p>
            <w:pPr>
              <w:pStyle w:val="Normal"/>
              <w:spacing w:lineRule="auto" w:line="240" w:before="0" w:after="0"/>
              <w:rPr>
                <w:rFonts w:ascii="Calibri" w:hAnsi="Calibri"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86.99.B</w:t>
              <w:tab/>
              <w:t>Działalność dietetyczna</w:t>
            </w:r>
          </w:p>
          <w:p>
            <w:pPr>
              <w:pStyle w:val="Normal"/>
              <w:spacing w:lineRule="auto" w:line="240" w:before="0" w:after="0"/>
              <w:rPr>
                <w:rFonts w:ascii="Calibri" w:hAnsi="Calibri"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86.99.C</w:t>
              <w:tab/>
              <w:t>Działalność logopedyczna</w:t>
            </w:r>
          </w:p>
          <w:p>
            <w:pPr>
              <w:pStyle w:val="Normal"/>
              <w:spacing w:lineRule="auto" w:line="240" w:before="0" w:after="0"/>
              <w:rPr>
                <w:rFonts w:ascii="Calibri" w:hAnsi="Calibri"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86.99.D</w:t>
              <w:tab/>
              <w:t>Działalność w zakresie pozostałej opieki zdrowotnej</w:t>
            </w:r>
          </w:p>
          <w:p>
            <w:pPr>
              <w:pStyle w:val="Normal"/>
              <w:spacing w:lineRule="auto" w:line="240" w:before="0" w:after="0"/>
              <w:rPr>
                <w:rFonts w:ascii="Calibri" w:hAnsi="Calibri"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88.10.Z Pomoc społeczna bez zakwaterowania dla osób starszych lub osób z niepełnosprawnościami</w:t>
            </w:r>
          </w:p>
          <w:p>
            <w:pPr>
              <w:pStyle w:val="Normal"/>
              <w:spacing w:lineRule="auto" w:line="240" w:before="0" w:after="0"/>
              <w:rPr>
                <w:rFonts w:ascii="Calibri" w:hAnsi="Calibri"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88.91.Z Opieka dzienna nad dziećmi</w:t>
            </w:r>
          </w:p>
          <w:p>
            <w:pPr>
              <w:pStyle w:val="Normal"/>
              <w:spacing w:lineRule="auto" w:line="240" w:before="0" w:after="0"/>
              <w:rPr>
                <w:rFonts w:ascii="Calibri" w:hAnsi="Calibri"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88.99.Z</w:t>
              <w:tab/>
              <w:t>Pozostała pomoc społeczna bez zakwaterowania, gdzie indziej niesklasyfikowana</w:t>
            </w:r>
          </w:p>
          <w:p>
            <w:pPr>
              <w:pStyle w:val="Normal"/>
              <w:spacing w:lineRule="auto" w:line="240" w:before="0" w:after="0"/>
              <w:rPr>
                <w:rFonts w:ascii="Calibri" w:hAnsi="Calibri"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96.21.Z</w:t>
              <w:tab/>
              <w:t>Działalność fryzjerska</w:t>
            </w:r>
          </w:p>
          <w:p>
            <w:pPr>
              <w:pStyle w:val="Normal"/>
              <w:spacing w:lineRule="auto" w:line="240" w:before="0" w:after="0"/>
              <w:rPr>
                <w:rFonts w:ascii="Calibri" w:hAnsi="Calibri"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96.22.Z</w:t>
              <w:tab/>
              <w:t>Działalność w zakresie pielęgnacji urody i pozostała działalność kosmetyczna</w:t>
            </w:r>
          </w:p>
          <w:p>
            <w:pPr>
              <w:pStyle w:val="Normal"/>
              <w:spacing w:lineRule="auto" w:line="240" w:before="0" w:after="0"/>
              <w:rPr>
                <w:rFonts w:ascii="Calibri" w:hAnsi="Calibri"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96.23.Z</w:t>
              <w:tab/>
              <w:t>Działalność spa, saun i łaźni parowych</w:t>
            </w:r>
          </w:p>
          <w:p>
            <w:pPr>
              <w:pStyle w:val="Normal"/>
              <w:spacing w:lineRule="auto" w:line="240" w:before="0" w:after="0"/>
              <w:rPr>
                <w:rFonts w:ascii="Calibri" w:hAnsi="Calibri"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96.91.Z</w:t>
              <w:tab/>
              <w:t>Działalność usługowa na rzecz osób w miejscu zamieszkania</w:t>
            </w:r>
          </w:p>
          <w:p>
            <w:pPr>
              <w:pStyle w:val="Normal"/>
              <w:spacing w:lineRule="auto" w:line="240" w:before="0" w:after="0"/>
              <w:rPr>
                <w:rFonts w:ascii="Calibri" w:hAnsi="Calibri"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62.10.B Pozostała działalność w zakresie programowania</w:t>
            </w:r>
          </w:p>
          <w:p>
            <w:pPr>
              <w:pStyle w:val="Normal"/>
              <w:spacing w:lineRule="auto" w:line="240" w:before="0" w:after="0"/>
              <w:rPr>
                <w:rFonts w:ascii="Calibri" w:hAnsi="Calibri" w:eastAsia="SimSun" w:cs="Times New Roman"/>
                <w:kern w:val="0"/>
                <w:sz w:val="22"/>
                <w:szCs w:val="22"/>
                <w:lang w:eastAsia="pl-PL" w:bidi="pl-PL"/>
                <w14:ligatures w14:val="none"/>
              </w:rPr>
            </w:pPr>
            <w:r>
              <w:rPr>
                <w:rFonts w:eastAsia="SimSun" w:cs="Times New Roman"/>
                <w:kern w:val="0"/>
                <w:sz w:val="22"/>
                <w:szCs w:val="22"/>
                <w:lang w:eastAsia="pl-PL" w:bidi="pl-PL"/>
                <w14:ligatures w14:val="none"/>
              </w:rPr>
            </w:r>
          </w:p>
          <w:p>
            <w:pPr>
              <w:pStyle w:val="Normal"/>
              <w:spacing w:lineRule="auto" w:line="240" w:before="0" w:after="0"/>
              <w:rPr>
                <w:rFonts w:eastAsia="SimSun"/>
                <w:kern w:val="0"/>
                <w:lang w:eastAsia="pl-PL" w:bidi="pl-PL"/>
                <w14:ligatures w14:val="none"/>
              </w:rPr>
            </w:pPr>
            <w:r>
              <w:rPr>
                <w:rFonts w:eastAsia="SimSun" w:cs="Times New Roman"/>
                <w:kern w:val="0"/>
                <w:sz w:val="22"/>
                <w:szCs w:val="22"/>
                <w:lang w:eastAsia="pl-PL" w:bidi="pl-PL"/>
                <w14:ligatures w14:val="none"/>
              </w:rPr>
              <w:t>Wspierane będą również odpowiadające wymienionym kodom PKD kody sprzed wejścia w życie Rozporządzenia Rady Ministrów z dnia 18 grudnia 2024 r. w sprawie Polskiej Klasyfikacji Działalności (PKD) na podstawie kluczy powiązań na stronie: https://klasyfikacje.stat.gov.pl/static/pkd_25/pdf/klucze_powiazan_PKD_2007_PKD_2025.pdf</w:t>
            </w:r>
          </w:p>
          <w:p>
            <w:pPr>
              <w:pStyle w:val="Normal"/>
              <w:spacing w:lineRule="auto" w:line="240" w:before="0" w:after="0"/>
              <w:rPr>
                <w:rFonts w:ascii="Calibri" w:hAnsi="Calibri" w:eastAsia="SimSun" w:cs="Times New Roman"/>
                <w:kern w:val="0"/>
                <w:sz w:val="22"/>
                <w:szCs w:val="22"/>
                <w:lang w:eastAsia="pl-PL" w:bidi="pl-PL"/>
                <w14:ligatures w14:val="none"/>
              </w:rPr>
            </w:pPr>
            <w:r>
              <w:rPr>
                <w:rFonts w:eastAsia="SimSun" w:cs="Times New Roman"/>
                <w:kern w:val="0"/>
                <w:sz w:val="22"/>
                <w:szCs w:val="22"/>
                <w:lang w:eastAsia="pl-PL" w:bidi="pl-PL"/>
                <w14:ligatures w14:val="none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Calibri" w:hAnsi="Calibri"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Weryfikacja na podstawie CEIDG, KRS oraz zakresu operacji odpowiedniego dla danego kodu we wniosku.</w:t>
            </w:r>
          </w:p>
        </w:tc>
        <w:tc>
          <w:tcPr>
            <w:tcW w:w="166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Times New Roman"/>
                <w:sz w:val="22"/>
                <w:szCs w:val="22"/>
              </w:rPr>
            </w:pPr>
            <w:r>
              <w:rPr>
                <w:rFonts w:eastAsia="Calibri" w:cs="Times New Roman"/>
                <w:sz w:val="22"/>
                <w:szCs w:val="22"/>
              </w:rPr>
              <w:t>Nie podlega uzupełnieniom</w:t>
            </w:r>
          </w:p>
        </w:tc>
      </w:tr>
      <w:tr>
        <w:trPr/>
        <w:tc>
          <w:tcPr>
            <w:tcW w:w="48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Times New Roman"/>
                <w:sz w:val="22"/>
                <w:szCs w:val="22"/>
              </w:rPr>
            </w:pPr>
            <w:r>
              <w:rPr>
                <w:rFonts w:eastAsia="Calibri" w:cs="Times New Roman"/>
                <w:sz w:val="22"/>
                <w:szCs w:val="22"/>
              </w:rPr>
              <w:t>4.</w:t>
            </w:r>
          </w:p>
        </w:tc>
        <w:tc>
          <w:tcPr>
            <w:tcW w:w="2116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rFonts w:eastAsia="Calibri" w:cs="Times New Roman"/>
                <w:sz w:val="22"/>
                <w:szCs w:val="22"/>
              </w:rPr>
              <w:t>Zgodność działalności z celem LSR</w:t>
            </w:r>
          </w:p>
        </w:tc>
        <w:tc>
          <w:tcPr>
            <w:tcW w:w="9726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Times New Roman"/>
                <w:sz w:val="22"/>
                <w:szCs w:val="22"/>
              </w:rPr>
            </w:pPr>
            <w:r>
              <w:rPr>
                <w:rFonts w:eastAsia="Calibri" w:cs="Times New Roman"/>
                <w:sz w:val="22"/>
                <w:szCs w:val="22"/>
              </w:rPr>
              <w:t>Stworzenie i sprzedaż co najmniej  jednej aplikacji dedykowanej i wspierającej rodziny z dziećmi, seniorów lub osoby niepełnosprawne i ich opiekunów - w przypadku realizacji operacji w ramach kodu  62.10.B Pozostała działalność w zakresie programowania.</w:t>
            </w:r>
          </w:p>
          <w:p>
            <w:pPr>
              <w:pStyle w:val="Normal"/>
              <w:spacing w:lineRule="auto" w:line="240" w:before="0" w:after="0"/>
              <w:rPr>
                <w:rFonts w:ascii="Calibri" w:hAnsi="Calibri" w:eastAsia="Calibri" w:cs="Times New Roman"/>
                <w:sz w:val="22"/>
                <w:szCs w:val="22"/>
              </w:rPr>
            </w:pPr>
            <w:r>
              <w:rPr>
                <w:rFonts w:eastAsia="Calibri" w:cs="Times New Roman"/>
                <w:sz w:val="22"/>
                <w:szCs w:val="22"/>
              </w:rPr>
            </w:r>
          </w:p>
          <w:p>
            <w:pPr>
              <w:pStyle w:val="Normal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rFonts w:eastAsia="Calibri" w:cs="Times New Roman"/>
                <w:sz w:val="22"/>
                <w:szCs w:val="22"/>
              </w:rPr>
              <w:t>Weryfikacja na podstawie zapisów wniosku oraz biznesplanu w p. „Poziom sprzedaży produktów lub usług”</w:t>
            </w:r>
          </w:p>
        </w:tc>
        <w:tc>
          <w:tcPr>
            <w:tcW w:w="166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rFonts w:eastAsia="Calibri" w:cs="Times New Roman"/>
                <w:sz w:val="22"/>
                <w:szCs w:val="22"/>
              </w:rPr>
              <w:t>Podlega uzupełnieniom</w:t>
            </w:r>
          </w:p>
        </w:tc>
      </w:tr>
      <w:tr>
        <w:trPr/>
        <w:tc>
          <w:tcPr>
            <w:tcW w:w="48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Times New Roman"/>
                <w:sz w:val="22"/>
                <w:szCs w:val="22"/>
              </w:rPr>
            </w:pPr>
            <w:r>
              <w:rPr>
                <w:rFonts w:eastAsia="Calibri" w:cs="Times New Roman"/>
                <w:sz w:val="22"/>
                <w:szCs w:val="22"/>
              </w:rPr>
              <w:t>5.</w:t>
            </w:r>
          </w:p>
        </w:tc>
        <w:tc>
          <w:tcPr>
            <w:tcW w:w="2116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Times New Roman"/>
                <w:sz w:val="22"/>
                <w:szCs w:val="22"/>
              </w:rPr>
            </w:pPr>
            <w:r>
              <w:rPr>
                <w:rFonts w:eastAsia="Calibri" w:cs="Times New Roman"/>
                <w:sz w:val="22"/>
                <w:szCs w:val="22"/>
              </w:rPr>
              <w:t xml:space="preserve">Zgodność z ideą deinstytucjonalizacji  </w:t>
            </w:r>
          </w:p>
        </w:tc>
        <w:tc>
          <w:tcPr>
            <w:tcW w:w="9726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Times New Roman"/>
                <w:sz w:val="22"/>
                <w:szCs w:val="22"/>
              </w:rPr>
            </w:pPr>
            <w:r>
              <w:rPr>
                <w:rFonts w:eastAsia="Calibri" w:cs="Times New Roman"/>
                <w:sz w:val="22"/>
                <w:szCs w:val="22"/>
              </w:rPr>
              <w:t xml:space="preserve">Operacja dotycząca świadczenia usług związanych z opieką nad osobami zależnymi, musi być zgodna z definicją deinstytucjonalizacji zawartą w Regionalnym Planie Rozwoju i Deinstytucjonalizacji Usług Społecznych i Zdrowotnych w Województwie Pomorskim na lata 2023-2025 (Załącznik do Uchwały Nr 978/473/23 Zarządu Województwa Pomorskiego z dnia 17 sierpnia 2023 roku, to „długofalowy proces przejścia od opieki zdominowanej przez pomoc instytucjonalną do zintegrowanych i zindywidualizowanych usług świadczonych przede wszystkim w miejscu zamieszkania, przy zaangażowaniu zasobów społeczności lokalnej.”  </w:t>
            </w:r>
          </w:p>
          <w:p>
            <w:pPr>
              <w:pStyle w:val="Normal"/>
              <w:spacing w:lineRule="auto" w:line="240" w:before="0" w:after="0"/>
              <w:rPr>
                <w:rFonts w:ascii="Calibri" w:hAnsi="Calibri" w:eastAsia="Calibri" w:cs="Times New Roman"/>
                <w:sz w:val="22"/>
                <w:szCs w:val="22"/>
              </w:rPr>
            </w:pPr>
            <w:r>
              <w:rPr>
                <w:rFonts w:eastAsia="Calibri" w:cs="Times New Roman"/>
                <w:sz w:val="22"/>
                <w:szCs w:val="22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Calibri" w:hAnsi="Calibri" w:eastAsia="Calibri" w:cs="Times New Roman"/>
                <w:sz w:val="22"/>
                <w:szCs w:val="22"/>
              </w:rPr>
            </w:pPr>
            <w:r>
              <w:rPr>
                <w:rFonts w:eastAsia="Calibri" w:cs="Times New Roman"/>
                <w:sz w:val="22"/>
                <w:szCs w:val="22"/>
              </w:rPr>
              <w:t xml:space="preserve">Weryfikacja na podstawie opisu wniosku o przyznanie pomocy. </w:t>
            </w:r>
          </w:p>
        </w:tc>
        <w:tc>
          <w:tcPr>
            <w:tcW w:w="166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Times New Roman"/>
                <w:sz w:val="22"/>
                <w:szCs w:val="22"/>
              </w:rPr>
            </w:pPr>
            <w:r>
              <w:rPr>
                <w:rFonts w:eastAsia="Calibri" w:cs="Times New Roman"/>
                <w:sz w:val="22"/>
                <w:szCs w:val="22"/>
              </w:rPr>
              <w:t>Podlega uzupełnieniom</w:t>
            </w:r>
          </w:p>
        </w:tc>
      </w:tr>
      <w:tr>
        <w:trPr/>
        <w:tc>
          <w:tcPr>
            <w:tcW w:w="13993" w:type="dxa"/>
            <w:gridSpan w:val="6"/>
            <w:tcBorders/>
            <w:shd w:color="auto" w:fill="F4B083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bCs/>
              </w:rPr>
            </w:pPr>
            <w:r>
              <w:rPr>
                <w:rFonts w:eastAsia="Calibri" w:cs="Times New Roman"/>
                <w:b/>
                <w:bCs/>
                <w:sz w:val="22"/>
                <w:szCs w:val="22"/>
              </w:rPr>
              <w:t>Kryteria rankingujące</w:t>
            </w:r>
          </w:p>
        </w:tc>
      </w:tr>
      <w:tr>
        <w:trPr/>
        <w:tc>
          <w:tcPr>
            <w:tcW w:w="496" w:type="dxa"/>
            <w:gridSpan w:val="2"/>
            <w:tcBorders/>
            <w:shd w:color="auto" w:fill="FBE4D5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bCs/>
              </w:rPr>
            </w:pPr>
            <w:r>
              <w:rPr>
                <w:rFonts w:eastAsia="Calibri" w:cs="Times New Roman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2147" w:type="dxa"/>
            <w:gridSpan w:val="2"/>
            <w:tcBorders/>
            <w:shd w:color="auto" w:fill="FBE4D5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bCs/>
              </w:rPr>
            </w:pPr>
            <w:r>
              <w:rPr>
                <w:rFonts w:eastAsia="Calibri" w:cs="Times New Roman"/>
                <w:b/>
                <w:bCs/>
                <w:sz w:val="22"/>
                <w:szCs w:val="22"/>
              </w:rPr>
              <w:t>Nazwa wskaźnika</w:t>
            </w:r>
          </w:p>
        </w:tc>
        <w:tc>
          <w:tcPr>
            <w:tcW w:w="9684" w:type="dxa"/>
            <w:tcBorders/>
            <w:shd w:color="auto" w:fill="FBE4D5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bCs/>
              </w:rPr>
            </w:pPr>
            <w:r>
              <w:rPr>
                <w:rFonts w:eastAsia="Calibri" w:cs="Times New Roman"/>
                <w:b/>
                <w:bCs/>
                <w:sz w:val="22"/>
                <w:szCs w:val="22"/>
              </w:rPr>
              <w:t>Opis kryterium</w:t>
            </w:r>
          </w:p>
        </w:tc>
        <w:tc>
          <w:tcPr>
            <w:tcW w:w="1666" w:type="dxa"/>
            <w:tcBorders/>
            <w:shd w:color="auto" w:fill="FBE4D5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bCs/>
              </w:rPr>
            </w:pPr>
            <w:r>
              <w:rPr>
                <w:rFonts w:eastAsia="Calibri" w:cs="Times New Roman"/>
                <w:b/>
                <w:bCs/>
                <w:sz w:val="22"/>
                <w:szCs w:val="22"/>
              </w:rPr>
              <w:t>Liczba punktów</w:t>
            </w:r>
          </w:p>
        </w:tc>
      </w:tr>
      <w:tr>
        <w:trPr/>
        <w:tc>
          <w:tcPr>
            <w:tcW w:w="496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Times New Roman"/>
                <w:sz w:val="22"/>
                <w:szCs w:val="22"/>
              </w:rPr>
            </w:pPr>
            <w:r>
              <w:rPr>
                <w:rFonts w:eastAsia="Calibri" w:cs="Times New Roman"/>
                <w:sz w:val="22"/>
                <w:szCs w:val="22"/>
              </w:rPr>
              <w:t>1</w:t>
            </w:r>
          </w:p>
        </w:tc>
        <w:tc>
          <w:tcPr>
            <w:tcW w:w="2147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bCs/>
              </w:rPr>
            </w:pPr>
            <w:r>
              <w:rPr>
                <w:rFonts w:eastAsia="Calibri" w:cs="Times New Roman"/>
                <w:sz w:val="22"/>
                <w:szCs w:val="22"/>
              </w:rPr>
              <w:t>Liczba utworzonych etatów</w:t>
            </w:r>
          </w:p>
        </w:tc>
        <w:tc>
          <w:tcPr>
            <w:tcW w:w="968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Preferowani są Wnioskodawcy, którzy deklarują utworzenie miejsca pracy, a osoba dla której zostanie utworzone miejsce pracy zostanie zatrudniona na podstawie umowy o pracę:</w:t>
            </w:r>
          </w:p>
          <w:p>
            <w:pPr>
              <w:pStyle w:val="Normal"/>
              <w:numPr>
                <w:ilvl w:val="0"/>
                <w:numId w:val="2"/>
              </w:numPr>
              <w:suppressAutoHyphens w:val="true"/>
              <w:spacing w:lineRule="auto" w:line="240" w:before="0" w:after="120"/>
              <w:ind w:left="714" w:hanging="357"/>
              <w:contextualSpacing/>
              <w:rPr>
                <w:rFonts w:eastAsia="SimSun" w:cs="Calibri"/>
                <w:kern w:val="0"/>
                <w:lang w:eastAsia="pl-PL" w:bidi="pl-PL"/>
                <w14:ligatures w14:val="none"/>
              </w:rPr>
            </w:pPr>
            <w:r>
              <w:rPr>
                <w:rFonts w:eastAsia="SimSun" w:cs="Calibri"/>
                <w:kern w:val="0"/>
                <w:sz w:val="22"/>
                <w:szCs w:val="22"/>
                <w:lang w:eastAsia="pl-PL" w:bidi="pl-PL"/>
                <w14:ligatures w14:val="none"/>
              </w:rPr>
              <w:t xml:space="preserve">Wnioskodawca planuje utworzyć co najmniej 1 pełen etat - </w:t>
            </w:r>
            <w:r>
              <w:rPr>
                <w:rFonts w:eastAsia="SimSun" w:cs="Calibri"/>
                <w:b/>
                <w:bCs/>
                <w:kern w:val="0"/>
                <w:sz w:val="22"/>
                <w:szCs w:val="22"/>
                <w:lang w:eastAsia="pl-PL" w:bidi="pl-PL"/>
                <w14:ligatures w14:val="none"/>
              </w:rPr>
              <w:t>1 pkt</w:t>
            </w:r>
          </w:p>
          <w:p>
            <w:pPr>
              <w:pStyle w:val="Normal"/>
              <w:numPr>
                <w:ilvl w:val="0"/>
                <w:numId w:val="3"/>
              </w:numPr>
              <w:suppressAutoHyphens w:val="true"/>
              <w:spacing w:lineRule="auto" w:line="240" w:before="0" w:after="120"/>
              <w:contextualSpacing/>
              <w:rPr>
                <w:rFonts w:eastAsia="SimSun" w:cs="Calibri"/>
                <w:kern w:val="0"/>
                <w:lang w:eastAsia="pl-PL" w:bidi="pl-PL"/>
                <w14:ligatures w14:val="none"/>
              </w:rPr>
            </w:pPr>
            <w:r>
              <w:rPr>
                <w:rFonts w:eastAsia="SimSun" w:cs="Calibri"/>
                <w:kern w:val="0"/>
                <w:sz w:val="22"/>
                <w:szCs w:val="22"/>
                <w:lang w:eastAsia="pl-PL" w:bidi="pl-PL"/>
                <w14:ligatures w14:val="none"/>
              </w:rPr>
              <w:t xml:space="preserve">Wnioskodawca nie planuje utworzyć co najmniej 1 pełnego etatu - </w:t>
            </w:r>
            <w:r>
              <w:rPr>
                <w:rFonts w:eastAsia="SimSun" w:cs="Calibri"/>
                <w:b/>
                <w:bCs/>
                <w:kern w:val="0"/>
                <w:sz w:val="22"/>
                <w:szCs w:val="22"/>
                <w:lang w:eastAsia="pl-PL" w:bidi="pl-PL"/>
                <w14:ligatures w14:val="none"/>
              </w:rPr>
              <w:t>0 pkt.</w:t>
            </w:r>
            <w:r>
              <w:rPr>
                <w:rFonts w:eastAsia="SimSun" w:cs="Calibri"/>
                <w:kern w:val="0"/>
                <w:sz w:val="22"/>
                <w:szCs w:val="22"/>
                <w:lang w:eastAsia="pl-PL" w:bidi="pl-PL"/>
                <w14:ligatures w14:val="none"/>
              </w:rPr>
              <w:t xml:space="preserve"> </w:t>
            </w:r>
          </w:p>
          <w:p>
            <w:pPr>
              <w:pStyle w:val="Normal"/>
              <w:spacing w:lineRule="auto" w:line="240" w:before="0" w:after="0"/>
              <w:rPr>
                <w:b/>
                <w:b/>
                <w:bCs/>
              </w:rPr>
            </w:pPr>
            <w:r>
              <w:rPr>
                <w:rFonts w:eastAsia="SimSun" w:cs="Calibri"/>
                <w:kern w:val="0"/>
                <w:sz w:val="22"/>
                <w:szCs w:val="22"/>
                <w:lang w:eastAsia="pl-PL" w:bidi="pl-PL"/>
                <w14:ligatures w14:val="none"/>
              </w:rPr>
              <w:t>Weryfikacja na podstawie zapisów wniosku o przyznanie pomocy i biznesplanu.</w:t>
            </w:r>
          </w:p>
        </w:tc>
        <w:tc>
          <w:tcPr>
            <w:tcW w:w="166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bCs/>
              </w:rPr>
            </w:pPr>
            <w:r>
              <w:rPr>
                <w:rFonts w:eastAsia="Calibri" w:cs="Times New Roman"/>
                <w:b/>
                <w:bCs/>
                <w:sz w:val="22"/>
                <w:szCs w:val="22"/>
              </w:rPr>
              <w:t>0 lub 1 pkt</w:t>
            </w:r>
          </w:p>
        </w:tc>
      </w:tr>
      <w:tr>
        <w:trPr/>
        <w:tc>
          <w:tcPr>
            <w:tcW w:w="496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Times New Roman"/>
                <w:sz w:val="22"/>
                <w:szCs w:val="22"/>
              </w:rPr>
            </w:pPr>
            <w:r>
              <w:rPr>
                <w:rFonts w:eastAsia="Calibri" w:cs="Times New Roman"/>
                <w:sz w:val="22"/>
                <w:szCs w:val="22"/>
              </w:rPr>
              <w:t>2</w:t>
            </w:r>
          </w:p>
        </w:tc>
        <w:tc>
          <w:tcPr>
            <w:tcW w:w="2147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bCs/>
              </w:rPr>
            </w:pPr>
            <w:r>
              <w:rPr>
                <w:rFonts w:eastAsia="Calibri" w:cs="Calibri"/>
                <w:sz w:val="22"/>
                <w:szCs w:val="22"/>
              </w:rPr>
              <w:t>Charakter utworzonych miejsc pracy</w:t>
            </w:r>
          </w:p>
        </w:tc>
        <w:tc>
          <w:tcPr>
            <w:tcW w:w="9684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eastAsia="SimSun" w:cs="Calibri"/>
                <w:kern w:val="0"/>
                <w:lang w:eastAsia="zh-CN"/>
                <w14:ligatures w14:val="none"/>
              </w:rPr>
            </w:pPr>
            <w:r>
              <w:rPr>
                <w:rFonts w:eastAsia="SimSun" w:cs="Calibri"/>
                <w:kern w:val="0"/>
                <w:sz w:val="22"/>
                <w:szCs w:val="22"/>
                <w:lang w:eastAsia="pl-PL" w:bidi="pl-PL"/>
                <w14:ligatures w14:val="none"/>
              </w:rPr>
              <w:t>Preferowani są wnioskodawcy deklarujący zatrudnienie w ramach stworzonego etatu osoby w niekorzystnej sytuacji na rynku pracy opisanych w LSR tj.:</w:t>
            </w:r>
          </w:p>
          <w:p>
            <w:pPr>
              <w:pStyle w:val="Normal"/>
              <w:suppressAutoHyphens w:val="true"/>
              <w:spacing w:lineRule="auto" w:line="240" w:before="0" w:after="0"/>
              <w:rPr>
                <w:rFonts w:eastAsia="SimSun" w:cs="Calibri"/>
                <w:kern w:val="0"/>
                <w:lang w:eastAsia="pl-PL" w:bidi="pl-PL"/>
                <w14:ligatures w14:val="none"/>
              </w:rPr>
            </w:pPr>
            <w:r>
              <w:rPr>
                <w:rFonts w:eastAsia="SimSun" w:cs="Calibri"/>
                <w:kern w:val="0"/>
                <w:sz w:val="22"/>
                <w:szCs w:val="22"/>
                <w:lang w:eastAsia="pl-PL" w:bidi="pl-PL"/>
                <w14:ligatures w14:val="none"/>
              </w:rPr>
              <w:t xml:space="preserve">- matek dzieci do lat 6 </w:t>
            </w:r>
          </w:p>
          <w:p>
            <w:pPr>
              <w:pStyle w:val="Normal"/>
              <w:suppressAutoHyphens w:val="true"/>
              <w:spacing w:lineRule="auto" w:line="240" w:before="0" w:after="0"/>
              <w:rPr>
                <w:rFonts w:eastAsia="SimSun" w:cs="Calibri"/>
                <w:kern w:val="0"/>
                <w:lang w:eastAsia="pl-PL" w:bidi="pl-PL"/>
                <w14:ligatures w14:val="none"/>
              </w:rPr>
            </w:pPr>
            <w:r>
              <w:rPr>
                <w:rFonts w:eastAsia="SimSun" w:cs="Calibri"/>
                <w:kern w:val="0"/>
                <w:sz w:val="22"/>
                <w:szCs w:val="22"/>
                <w:lang w:eastAsia="pl-PL" w:bidi="pl-PL"/>
                <w14:ligatures w14:val="none"/>
              </w:rPr>
              <w:t>- osób z niepełnosprawnościami</w:t>
            </w:r>
          </w:p>
          <w:p>
            <w:pPr>
              <w:pStyle w:val="Normal"/>
              <w:spacing w:lineRule="auto" w:line="240" w:before="0" w:after="0"/>
              <w:rPr>
                <w:rFonts w:eastAsia="MS UI Gothic" w:cs="Calibri"/>
                <w:kern w:val="0"/>
                <w:lang w:eastAsia="pl-PL"/>
                <w14:ligatures w14:val="none"/>
              </w:rPr>
            </w:pPr>
            <w:r>
              <w:rPr>
                <w:rFonts w:eastAsia="MS UI Gothic" w:cs="Calibri"/>
                <w:kern w:val="0"/>
                <w:sz w:val="22"/>
                <w:szCs w:val="22"/>
                <w:lang w:eastAsia="pl-PL"/>
                <w14:ligatures w14:val="none"/>
              </w:rPr>
              <w:t>- osób poszukujących zatrudnienia z następujących grup:</w:t>
            </w:r>
          </w:p>
          <w:p>
            <w:pPr>
              <w:pStyle w:val="Normal"/>
              <w:numPr>
                <w:ilvl w:val="0"/>
                <w:numId w:val="4"/>
              </w:numPr>
              <w:spacing w:lineRule="auto" w:line="240" w:before="0" w:after="160"/>
              <w:contextualSpacing/>
              <w:rPr>
                <w:rFonts w:eastAsia="MS UI Gothic" w:cs="Calibri"/>
                <w:kern w:val="0"/>
                <w:lang w:eastAsia="pl-PL"/>
                <w14:ligatures w14:val="none"/>
              </w:rPr>
            </w:pPr>
            <w:r>
              <w:rPr>
                <w:rFonts w:eastAsia="MS UI Gothic" w:cs="Calibri"/>
                <w:kern w:val="0"/>
                <w:sz w:val="22"/>
                <w:szCs w:val="22"/>
                <w:lang w:eastAsia="pl-PL"/>
                <w14:ligatures w14:val="none"/>
              </w:rPr>
              <w:t xml:space="preserve">osób bezrobotnych 50+, </w:t>
            </w:r>
          </w:p>
          <w:p>
            <w:pPr>
              <w:pStyle w:val="Normal"/>
              <w:numPr>
                <w:ilvl w:val="0"/>
                <w:numId w:val="4"/>
              </w:numPr>
              <w:spacing w:lineRule="auto" w:line="240" w:before="0" w:after="160"/>
              <w:contextualSpacing/>
              <w:rPr>
                <w:rFonts w:eastAsia="MS UI Gothic" w:cs="Calibri"/>
                <w:kern w:val="0"/>
                <w:lang w:eastAsia="pl-PL"/>
                <w14:ligatures w14:val="none"/>
              </w:rPr>
            </w:pPr>
            <w:r>
              <w:rPr>
                <w:rFonts w:eastAsia="MS UI Gothic" w:cs="Calibri"/>
                <w:kern w:val="0"/>
                <w:sz w:val="22"/>
                <w:szCs w:val="22"/>
                <w:lang w:eastAsia="pl-PL"/>
                <w14:ligatures w14:val="none"/>
              </w:rPr>
              <w:t>osób bezrobotnych młodych do 25 lat*.</w:t>
            </w:r>
          </w:p>
          <w:p>
            <w:pPr>
              <w:pStyle w:val="Normal"/>
              <w:spacing w:lineRule="auto" w:line="240" w:before="0" w:after="120"/>
              <w:rPr>
                <w:rFonts w:eastAsia="MS UI Gothic" w:cs="Calibri"/>
                <w:kern w:val="0"/>
                <w:lang w:eastAsia="pl-PL"/>
                <w14:ligatures w14:val="none"/>
              </w:rPr>
            </w:pPr>
            <w:r>
              <w:rPr>
                <w:rFonts w:eastAsia="MS UI Gothic" w:cs="Calibri"/>
                <w:kern w:val="0"/>
                <w:sz w:val="22"/>
                <w:szCs w:val="22"/>
                <w:lang w:eastAsia="pl-PL"/>
                <w14:ligatures w14:val="none"/>
              </w:rPr>
              <w:t xml:space="preserve">Kryterium jest punktowane jeśli: </w:t>
            </w:r>
          </w:p>
          <w:p>
            <w:pPr>
              <w:pStyle w:val="Normal"/>
              <w:numPr>
                <w:ilvl w:val="0"/>
                <w:numId w:val="5"/>
              </w:numPr>
              <w:spacing w:lineRule="auto" w:line="240" w:before="0" w:after="160"/>
              <w:contextualSpacing/>
              <w:rPr>
                <w:rFonts w:eastAsia="MS UI Gothic" w:cs="Calibri"/>
                <w:kern w:val="0"/>
                <w:lang w:eastAsia="pl-PL"/>
                <w14:ligatures w14:val="none"/>
              </w:rPr>
            </w:pPr>
            <w:r>
              <w:rPr>
                <w:rFonts w:eastAsia="SimSun" w:cs="Calibri"/>
                <w:kern w:val="0"/>
                <w:sz w:val="22"/>
                <w:szCs w:val="22"/>
                <w:lang w:eastAsia="pl-PL" w:bidi="pl-PL"/>
                <w14:ligatures w14:val="none"/>
              </w:rPr>
              <w:t xml:space="preserve">Wnioskodawca deklaruje zatrudnienia osoby w niekorzystnej sytuacji na rynku pracy określonych w LSR - </w:t>
            </w:r>
            <w:r>
              <w:rPr>
                <w:rFonts w:eastAsia="SimSun" w:cs="Calibri"/>
                <w:b/>
                <w:bCs/>
                <w:kern w:val="0"/>
                <w:sz w:val="22"/>
                <w:szCs w:val="22"/>
                <w:lang w:eastAsia="pl-PL" w:bidi="pl-PL"/>
                <w14:ligatures w14:val="none"/>
              </w:rPr>
              <w:t>3 Pkt</w:t>
            </w:r>
          </w:p>
          <w:p>
            <w:pPr>
              <w:pStyle w:val="Normal"/>
              <w:numPr>
                <w:ilvl w:val="0"/>
                <w:numId w:val="5"/>
              </w:numPr>
              <w:spacing w:lineRule="auto" w:line="240" w:before="0" w:after="120"/>
              <w:ind w:left="714" w:hanging="357"/>
              <w:contextualSpacing/>
              <w:rPr>
                <w:rFonts w:eastAsia="MS UI Gothic" w:cs="Calibri"/>
                <w:kern w:val="0"/>
                <w:lang w:eastAsia="pl-PL"/>
                <w14:ligatures w14:val="none"/>
              </w:rPr>
            </w:pPr>
            <w:r>
              <w:rPr>
                <w:rFonts w:eastAsia="MS UI Gothic" w:cs="Calibri"/>
                <w:kern w:val="0"/>
                <w:sz w:val="22"/>
                <w:szCs w:val="22"/>
                <w:lang w:eastAsia="pl-PL"/>
                <w14:ligatures w14:val="none"/>
              </w:rPr>
              <w:t xml:space="preserve">Wnioskodawca nie deklaruje zatrudnienie osób w niekorzystnej sytuacji na rynku pracy - </w:t>
            </w:r>
            <w:r>
              <w:rPr>
                <w:rFonts w:eastAsia="MS UI Gothic" w:cs="Calibri"/>
                <w:b/>
                <w:bCs/>
                <w:kern w:val="0"/>
                <w:sz w:val="22"/>
                <w:szCs w:val="22"/>
                <w:lang w:eastAsia="pl-PL"/>
                <w14:ligatures w14:val="none"/>
              </w:rPr>
              <w:t>0 pkt</w:t>
            </w:r>
          </w:p>
          <w:p>
            <w:pPr>
              <w:pStyle w:val="Normal"/>
              <w:spacing w:lineRule="auto" w:line="240" w:before="0" w:after="120"/>
              <w:rPr>
                <w:rFonts w:eastAsia="MS UI Gothic" w:cs="Calibri"/>
                <w:kern w:val="0"/>
                <w:lang w:eastAsia="pl-PL"/>
                <w14:ligatures w14:val="none"/>
              </w:rPr>
            </w:pPr>
            <w:r>
              <w:rPr>
                <w:rFonts w:eastAsia="MS UI Gothic" w:cs="Calibri"/>
                <w:kern w:val="0"/>
                <w:sz w:val="22"/>
                <w:szCs w:val="22"/>
                <w:lang w:eastAsia="pl-PL"/>
                <w14:ligatures w14:val="none"/>
              </w:rPr>
              <w:t xml:space="preserve">Weryfikacja na podstawie zapisów wniosku o przyznanie pomocy. </w:t>
            </w:r>
          </w:p>
          <w:p>
            <w:pPr>
              <w:pStyle w:val="Normal"/>
              <w:spacing w:lineRule="auto" w:line="240" w:before="0" w:after="0"/>
              <w:rPr>
                <w:b/>
                <w:b/>
                <w:bCs/>
              </w:rPr>
            </w:pPr>
            <w:r>
              <w:rPr>
                <w:rFonts w:eastAsia="MS UI Gothic" w:cs="Calibri"/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 xml:space="preserve"> bezrobotny definiowany jest zgodnie z </w:t>
            </w:r>
            <w:r>
              <w:rPr>
                <w:rFonts w:eastAsia="MS UI Gothic" w:cs="Calibri"/>
                <w:sz w:val="22"/>
                <w:szCs w:val="22"/>
              </w:rPr>
              <w:t>Ustawą z dnia 20 kwietnia 2004 r. o promocji zatrudnienia i instytucjach rynku pracy.</w:t>
            </w:r>
          </w:p>
        </w:tc>
        <w:tc>
          <w:tcPr>
            <w:tcW w:w="166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bCs/>
              </w:rPr>
            </w:pPr>
            <w:r>
              <w:rPr>
                <w:rFonts w:eastAsia="Calibri" w:cs="Calibri"/>
                <w:b/>
                <w:bCs/>
                <w:sz w:val="22"/>
                <w:szCs w:val="22"/>
              </w:rPr>
              <w:t>0 lub 3 pkt</w:t>
            </w:r>
          </w:p>
        </w:tc>
      </w:tr>
      <w:tr>
        <w:trPr/>
        <w:tc>
          <w:tcPr>
            <w:tcW w:w="496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Times New Roman"/>
                <w:sz w:val="22"/>
                <w:szCs w:val="22"/>
              </w:rPr>
            </w:pPr>
            <w:r>
              <w:rPr>
                <w:rFonts w:eastAsia="Calibri" w:cs="Times New Roman"/>
                <w:sz w:val="22"/>
                <w:szCs w:val="22"/>
              </w:rPr>
              <w:t>3</w:t>
            </w:r>
          </w:p>
        </w:tc>
        <w:tc>
          <w:tcPr>
            <w:tcW w:w="2147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bCs/>
              </w:rPr>
            </w:pPr>
            <w:r>
              <w:rPr>
                <w:rFonts w:eastAsia="Calibri" w:cs="Calibri"/>
                <w:sz w:val="22"/>
                <w:szCs w:val="22"/>
              </w:rPr>
              <w:t>Związanie z obszarem objętym LSR (</w:t>
            </w:r>
          </w:p>
        </w:tc>
        <w:tc>
          <w:tcPr>
            <w:tcW w:w="9684" w:type="dxa"/>
            <w:tcBorders/>
            <w:shd w:fill="auto" w:val="clear"/>
          </w:tcPr>
          <w:p>
            <w:pPr>
              <w:pStyle w:val="Normal"/>
              <w:spacing w:lineRule="auto" w:line="240" w:before="0" w:after="120"/>
              <w:rPr>
                <w:rFonts w:cs="Calibri"/>
              </w:rPr>
            </w:pPr>
            <w:r>
              <w:rPr>
                <w:rFonts w:eastAsia="Calibri" w:cs="Calibri"/>
                <w:sz w:val="22"/>
                <w:szCs w:val="22"/>
              </w:rPr>
              <w:t>Preferowani są wnioskodawcy, którzy są jak najdłużej związani z obszarem objętym LSR tj. posiadają siedzibę lub odział na terenie  gmin Cewice, Choczewo, Gniewino, Nowa Wieś Lęborska, Wejherowo, Wicko lub miasta Łeba . Kryterium jest punktowane jeśli na dzień składania wniosku lokalizacja siedziby lub oddziału na obszarze wynosi:</w:t>
            </w:r>
          </w:p>
          <w:p>
            <w:pPr>
              <w:pStyle w:val="Normal"/>
              <w:numPr>
                <w:ilvl w:val="0"/>
                <w:numId w:val="6"/>
              </w:numPr>
              <w:spacing w:lineRule="auto" w:line="240" w:before="0" w:after="120"/>
              <w:contextualSpacing/>
              <w:rPr>
                <w:rFonts w:cs="Calibri"/>
              </w:rPr>
            </w:pPr>
            <w:r>
              <w:rPr>
                <w:rFonts w:eastAsia="Calibri" w:cs="Calibri"/>
                <w:sz w:val="22"/>
                <w:szCs w:val="22"/>
              </w:rPr>
              <w:t xml:space="preserve">Dłużej niż 10 lat - </w:t>
            </w:r>
            <w:r>
              <w:rPr>
                <w:rFonts w:eastAsia="Calibri" w:cs="Calibri"/>
                <w:b/>
                <w:bCs/>
                <w:sz w:val="22"/>
                <w:szCs w:val="22"/>
              </w:rPr>
              <w:t>3 pkt</w:t>
            </w:r>
          </w:p>
          <w:p>
            <w:pPr>
              <w:pStyle w:val="Normal"/>
              <w:numPr>
                <w:ilvl w:val="0"/>
                <w:numId w:val="6"/>
              </w:numPr>
              <w:spacing w:lineRule="auto" w:line="240" w:before="0" w:after="160"/>
              <w:contextualSpacing/>
              <w:rPr>
                <w:rFonts w:cs="Calibri"/>
              </w:rPr>
            </w:pPr>
            <w:r>
              <w:rPr>
                <w:rFonts w:eastAsia="Calibri" w:cs="Calibri"/>
                <w:sz w:val="22"/>
                <w:szCs w:val="22"/>
              </w:rPr>
              <w:t xml:space="preserve"> </w:t>
            </w:r>
            <w:r>
              <w:rPr>
                <w:rFonts w:eastAsia="Calibri" w:cs="Calibri"/>
                <w:sz w:val="22"/>
                <w:szCs w:val="22"/>
              </w:rPr>
              <w:t xml:space="preserve">Od  5 lat i do 10 lat - </w:t>
            </w:r>
            <w:r>
              <w:rPr>
                <w:rFonts w:eastAsia="Calibri" w:cs="Calibri"/>
                <w:b/>
                <w:bCs/>
                <w:sz w:val="22"/>
                <w:szCs w:val="22"/>
              </w:rPr>
              <w:t>2 pkt</w:t>
            </w:r>
          </w:p>
          <w:p>
            <w:pPr>
              <w:pStyle w:val="Normal"/>
              <w:numPr>
                <w:ilvl w:val="0"/>
                <w:numId w:val="6"/>
              </w:numPr>
              <w:spacing w:lineRule="auto" w:line="240" w:before="0" w:after="120"/>
              <w:contextualSpacing/>
              <w:rPr>
                <w:rFonts w:cs="Calibri"/>
              </w:rPr>
            </w:pPr>
            <w:r>
              <w:rPr>
                <w:rFonts w:eastAsia="Calibri" w:cs="Calibri"/>
                <w:sz w:val="22"/>
                <w:szCs w:val="22"/>
              </w:rPr>
              <w:t xml:space="preserve">Poniżej 5 lat – </w:t>
            </w:r>
            <w:r>
              <w:rPr>
                <w:rFonts w:eastAsia="Calibri" w:cs="Calibri"/>
                <w:b/>
                <w:bCs/>
                <w:sz w:val="22"/>
                <w:szCs w:val="22"/>
              </w:rPr>
              <w:t>0 pkt</w:t>
            </w:r>
          </w:p>
          <w:p>
            <w:pPr>
              <w:pStyle w:val="Normal"/>
              <w:spacing w:lineRule="auto" w:line="240" w:before="0" w:after="0"/>
              <w:rPr>
                <w:b/>
                <w:b/>
                <w:bCs/>
              </w:rPr>
            </w:pPr>
            <w:r>
              <w:rPr>
                <w:rFonts w:eastAsia="Calibri" w:cs="Calibri"/>
                <w:sz w:val="22"/>
                <w:szCs w:val="22"/>
              </w:rPr>
              <w:t>Weryfikacja na podstawie danych CEIDG lub KRS.</w:t>
            </w:r>
          </w:p>
        </w:tc>
        <w:tc>
          <w:tcPr>
            <w:tcW w:w="166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bCs/>
              </w:rPr>
            </w:pPr>
            <w:r>
              <w:rPr>
                <w:rFonts w:eastAsia="Calibri" w:cs="Times New Roman"/>
                <w:b/>
                <w:bCs/>
                <w:sz w:val="22"/>
                <w:szCs w:val="22"/>
              </w:rPr>
              <w:t xml:space="preserve">Od 0 do 3 </w:t>
            </w:r>
          </w:p>
        </w:tc>
      </w:tr>
      <w:tr>
        <w:trPr/>
        <w:tc>
          <w:tcPr>
            <w:tcW w:w="496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Times New Roman"/>
                <w:sz w:val="22"/>
                <w:szCs w:val="22"/>
              </w:rPr>
            </w:pPr>
            <w:r>
              <w:rPr>
                <w:rFonts w:eastAsia="Calibri" w:cs="Times New Roman"/>
                <w:sz w:val="22"/>
                <w:szCs w:val="22"/>
              </w:rPr>
              <w:t>4</w:t>
            </w:r>
          </w:p>
        </w:tc>
        <w:tc>
          <w:tcPr>
            <w:tcW w:w="2147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/>
              </w:rPr>
            </w:pPr>
            <w:r>
              <w:rPr>
                <w:rFonts w:eastAsia="Calibri" w:cs="Calibri"/>
                <w:sz w:val="22"/>
                <w:szCs w:val="22"/>
              </w:rPr>
              <w:t>Odbiorcy świadczonych usług</w:t>
            </w:r>
          </w:p>
        </w:tc>
        <w:tc>
          <w:tcPr>
            <w:tcW w:w="9684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cs="Calibri"/>
              </w:rPr>
            </w:pPr>
            <w:r>
              <w:rPr>
                <w:rFonts w:eastAsia="Calibri" w:cs="Calibri"/>
                <w:sz w:val="22"/>
                <w:szCs w:val="22"/>
              </w:rPr>
              <w:t>Preferowane będą operację, w których zaplanowano produkty/usługi na rzecz osób w niekorzystnej sytuacji, zagrożonych wykluczeniem społecznym i ich rodzin w szczególności dla osób wymagających wsparcia w codziennym funkcjonowaniu i ich opiekunów. Np. zabiegi na schorzenia wieku starczego, terapie dedykowane ww. osobom, opieka krótkoterminowa nad dziećmi, osobami zależnymi, korepetycje itp. oraz zniżki w świadczeniu usług na rzecz ww. osób. Usługi świadczone na rzecz ww. osób.</w:t>
            </w:r>
          </w:p>
          <w:p>
            <w:pPr>
              <w:pStyle w:val="Normal"/>
              <w:numPr>
                <w:ilvl w:val="0"/>
                <w:numId w:val="7"/>
              </w:numPr>
              <w:suppressAutoHyphens w:val="true"/>
              <w:spacing w:lineRule="auto" w:line="240" w:before="0" w:after="160"/>
              <w:contextualSpacing/>
              <w:rPr>
                <w:rFonts w:cs="Calibri"/>
              </w:rPr>
            </w:pPr>
            <w:r>
              <w:rPr>
                <w:rFonts w:eastAsia="Calibri" w:cs="Calibri"/>
                <w:sz w:val="22"/>
                <w:szCs w:val="22"/>
              </w:rPr>
              <w:t xml:space="preserve">Wnioskodawca zaplanował, wyodrębnił i opisał w biznesplanie usługi lub produkty, które zamierza świadczyć na rzecz osób w niekorzystnej sytuacji, zagrożonych wykluczeniem społecznym lub wymagających wsparcia w codziennym funkcjonowaniu i ich opiekunów - </w:t>
            </w:r>
            <w:r>
              <w:rPr>
                <w:rFonts w:eastAsia="Calibri" w:cs="Calibri"/>
                <w:b/>
                <w:bCs/>
                <w:sz w:val="22"/>
                <w:szCs w:val="22"/>
              </w:rPr>
              <w:t>2 pkt</w:t>
            </w:r>
          </w:p>
          <w:p>
            <w:pPr>
              <w:pStyle w:val="Normal"/>
              <w:numPr>
                <w:ilvl w:val="0"/>
                <w:numId w:val="7"/>
              </w:numPr>
              <w:suppressAutoHyphens w:val="true"/>
              <w:spacing w:lineRule="auto" w:line="240" w:before="0" w:after="160"/>
              <w:contextualSpacing/>
              <w:rPr>
                <w:rFonts w:cs="Calibri"/>
              </w:rPr>
            </w:pPr>
            <w:r>
              <w:rPr>
                <w:rFonts w:eastAsia="Calibri" w:cs="Calibri"/>
                <w:sz w:val="22"/>
                <w:szCs w:val="22"/>
              </w:rPr>
              <w:t xml:space="preserve">Wnioskodawca nie wyodrębnił usług lub produktów dla ww. osób - </w:t>
            </w:r>
            <w:r>
              <w:rPr>
                <w:rFonts w:eastAsia="Calibri" w:cs="Calibri"/>
                <w:b/>
                <w:bCs/>
                <w:sz w:val="22"/>
                <w:szCs w:val="22"/>
              </w:rPr>
              <w:t>0 pkt</w:t>
            </w:r>
          </w:p>
          <w:p>
            <w:pPr>
              <w:pStyle w:val="Normal"/>
              <w:spacing w:lineRule="auto" w:line="240" w:before="120" w:after="120"/>
              <w:rPr>
                <w:rFonts w:cs="Calibri"/>
              </w:rPr>
            </w:pPr>
            <w:r>
              <w:rPr>
                <w:rFonts w:eastAsia="Calibri" w:cs="Calibri"/>
                <w:sz w:val="22"/>
                <w:szCs w:val="22"/>
              </w:rPr>
              <w:t xml:space="preserve">Weryfikacja na podstawie biznesplanu p.  „Poziom sprzedaży produktów lub usług”. </w:t>
            </w:r>
          </w:p>
        </w:tc>
        <w:tc>
          <w:tcPr>
            <w:tcW w:w="166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bCs/>
              </w:rPr>
            </w:pPr>
            <w:r>
              <w:rPr>
                <w:rFonts w:eastAsia="Calibri" w:cs="Times New Roman"/>
                <w:b/>
                <w:bCs/>
                <w:sz w:val="22"/>
                <w:szCs w:val="22"/>
              </w:rPr>
              <w:t>0 lub 2 pkt</w:t>
            </w:r>
          </w:p>
        </w:tc>
      </w:tr>
      <w:tr>
        <w:trPr/>
        <w:tc>
          <w:tcPr>
            <w:tcW w:w="496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Times New Roman"/>
                <w:sz w:val="22"/>
                <w:szCs w:val="22"/>
              </w:rPr>
            </w:pPr>
            <w:r>
              <w:rPr>
                <w:rFonts w:eastAsia="Calibri" w:cs="Times New Roman"/>
                <w:sz w:val="22"/>
                <w:szCs w:val="22"/>
              </w:rPr>
              <w:t>5</w:t>
            </w:r>
          </w:p>
        </w:tc>
        <w:tc>
          <w:tcPr>
            <w:tcW w:w="2147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bCs/>
              </w:rPr>
            </w:pPr>
            <w:r>
              <w:rPr>
                <w:rFonts w:eastAsia="Calibri" w:cs="Calibri"/>
                <w:sz w:val="22"/>
                <w:szCs w:val="22"/>
              </w:rPr>
              <w:t xml:space="preserve">Dostępność dla osób ze szczególnymi potrzebami </w:t>
            </w:r>
          </w:p>
        </w:tc>
        <w:tc>
          <w:tcPr>
            <w:tcW w:w="9684" w:type="dxa"/>
            <w:tcBorders/>
            <w:shd w:fill="auto" w:val="clear"/>
          </w:tcPr>
          <w:p>
            <w:pPr>
              <w:pStyle w:val="Normal"/>
              <w:spacing w:lineRule="auto" w:line="240" w:before="0" w:after="120"/>
              <w:rPr>
                <w:rFonts w:cs="Calibri"/>
              </w:rPr>
            </w:pPr>
            <w:r>
              <w:rPr>
                <w:rFonts w:eastAsia="Calibri" w:cs="Calibri"/>
                <w:sz w:val="22"/>
                <w:szCs w:val="22"/>
              </w:rPr>
              <w:t>Operacja zakłada zastosowanie rozwiązań architektonicznych/ sprzętowych / informacyjno- komunikacyjnych zwiększających dostępność infrastruktury/efektów operacji dla osób ze specjalnymi potrzebami i uwzględnia potrzeby tych osób.  Kryterium jest punktowane :</w:t>
            </w:r>
          </w:p>
          <w:p>
            <w:pPr>
              <w:pStyle w:val="Normal"/>
              <w:numPr>
                <w:ilvl w:val="0"/>
                <w:numId w:val="8"/>
              </w:numPr>
              <w:spacing w:lineRule="auto" w:line="240" w:before="0" w:after="160"/>
              <w:contextualSpacing/>
              <w:rPr>
                <w:rFonts w:cs="Calibri"/>
              </w:rPr>
            </w:pPr>
            <w:r>
              <w:rPr>
                <w:rFonts w:eastAsia="Calibri" w:cs="Calibri"/>
                <w:sz w:val="22"/>
                <w:szCs w:val="22"/>
              </w:rPr>
              <w:t xml:space="preserve"> </w:t>
            </w:r>
            <w:r>
              <w:rPr>
                <w:rFonts w:eastAsia="Calibri" w:cs="Calibri"/>
                <w:sz w:val="22"/>
                <w:szCs w:val="22"/>
              </w:rPr>
              <w:t xml:space="preserve">Jeżeli w ramach kosztów kwalifikowalnych przewidziano rozwój infrastruktury lub zakup sprzętu ułatwiającego korzystanie z powstałej/ zmodernizowanej infrastruktury/ sprzętu przez osoby z niepełnosprawnościami, rodziców z małymi dziećmi i opiekunów osób zależnych oraz seniorów - </w:t>
            </w:r>
            <w:r>
              <w:rPr>
                <w:rFonts w:eastAsia="Calibri" w:cs="Calibri"/>
                <w:b/>
                <w:bCs/>
                <w:sz w:val="22"/>
                <w:szCs w:val="22"/>
              </w:rPr>
              <w:t xml:space="preserve">1 pkt </w:t>
            </w:r>
          </w:p>
          <w:p>
            <w:pPr>
              <w:pStyle w:val="Normal"/>
              <w:numPr>
                <w:ilvl w:val="0"/>
                <w:numId w:val="8"/>
              </w:numPr>
              <w:spacing w:lineRule="auto" w:line="240" w:before="0" w:after="160"/>
              <w:contextualSpacing/>
              <w:rPr>
                <w:rFonts w:cs="Calibri"/>
              </w:rPr>
            </w:pPr>
            <w:r>
              <w:rPr>
                <w:rFonts w:eastAsia="Calibri" w:cs="Calibri"/>
                <w:sz w:val="22"/>
                <w:szCs w:val="22"/>
              </w:rPr>
              <w:t>Jeżeli w ramach kosztów kwalifikowalnych przewidziano udogodnienia informacyjno-komunikacyjne dla osób z niepełnosprawnościami, seniorów -</w:t>
            </w:r>
            <w:r>
              <w:rPr>
                <w:rFonts w:eastAsia="Calibri" w:cs="Calibri"/>
                <w:b/>
                <w:bCs/>
                <w:sz w:val="22"/>
                <w:szCs w:val="22"/>
              </w:rPr>
              <w:t>1 pkt</w:t>
            </w:r>
          </w:p>
          <w:p>
            <w:pPr>
              <w:pStyle w:val="Normal"/>
              <w:numPr>
                <w:ilvl w:val="0"/>
                <w:numId w:val="8"/>
              </w:numPr>
              <w:spacing w:lineRule="auto" w:line="240" w:before="0" w:after="120"/>
              <w:ind w:left="714" w:hanging="357"/>
              <w:contextualSpacing/>
              <w:rPr>
                <w:rFonts w:cs="Calibri"/>
              </w:rPr>
            </w:pPr>
            <w:r>
              <w:rPr>
                <w:rFonts w:eastAsia="Calibri" w:cs="Calibri"/>
                <w:sz w:val="22"/>
                <w:szCs w:val="22"/>
              </w:rPr>
              <w:t xml:space="preserve">Operacja nie przewiduje rozwiązań, o których mowa w ppkt „a” ani „b” lub we wniosku nieprecyzyjnie/ niewystarczająco uzasadniono spełnienie kryterium lub zapisy w tym zakresie w załączonych dokumentach są niespójne  – </w:t>
            </w:r>
            <w:r>
              <w:rPr>
                <w:rFonts w:eastAsia="Calibri" w:cs="Calibri"/>
                <w:b/>
                <w:bCs/>
                <w:sz w:val="22"/>
                <w:szCs w:val="22"/>
              </w:rPr>
              <w:t>0 pkt.</w:t>
            </w:r>
            <w:r>
              <w:rPr>
                <w:rFonts w:eastAsia="Calibri" w:cs="Calibri"/>
                <w:sz w:val="22"/>
                <w:szCs w:val="22"/>
              </w:rPr>
              <w:t xml:space="preserve">  </w:t>
            </w:r>
          </w:p>
          <w:p>
            <w:pPr>
              <w:pStyle w:val="Normal"/>
              <w:spacing w:lineRule="auto" w:line="240" w:before="0" w:after="0"/>
              <w:rPr>
                <w:rFonts w:cs="Calibri"/>
                <w:b/>
                <w:b/>
                <w:bCs/>
              </w:rPr>
            </w:pPr>
            <w:r>
              <w:rPr>
                <w:rFonts w:eastAsia="Calibri" w:cs="Calibri"/>
                <w:b/>
                <w:bCs/>
                <w:sz w:val="22"/>
                <w:szCs w:val="22"/>
              </w:rPr>
              <w:t xml:space="preserve">Punkty w tym kryterium sumują się. </w:t>
            </w:r>
          </w:p>
          <w:p>
            <w:pPr>
              <w:pStyle w:val="Normal"/>
              <w:spacing w:lineRule="auto" w:line="240" w:before="0" w:after="0"/>
              <w:rPr>
                <w:b/>
                <w:b/>
                <w:bCs/>
              </w:rPr>
            </w:pPr>
            <w:r>
              <w:rPr>
                <w:rFonts w:eastAsia="Calibri" w:cs="Calibri"/>
                <w:sz w:val="22"/>
                <w:szCs w:val="22"/>
              </w:rPr>
              <w:t xml:space="preserve">Weryfikacja na podstawie zapisów wniosku o przyznanie pomocy oraz załączników. </w:t>
            </w:r>
          </w:p>
        </w:tc>
        <w:tc>
          <w:tcPr>
            <w:tcW w:w="166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bCs/>
              </w:rPr>
            </w:pPr>
            <w:r>
              <w:rPr>
                <w:rFonts w:eastAsia="Calibri" w:cs="Calibri"/>
                <w:b/>
                <w:bCs/>
                <w:sz w:val="22"/>
                <w:szCs w:val="22"/>
              </w:rPr>
              <w:t>Od 0 do 2 pkt</w:t>
            </w:r>
          </w:p>
        </w:tc>
      </w:tr>
      <w:tr>
        <w:trPr/>
        <w:tc>
          <w:tcPr>
            <w:tcW w:w="496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Times New Roman"/>
                <w:sz w:val="22"/>
                <w:szCs w:val="22"/>
              </w:rPr>
            </w:pPr>
            <w:r>
              <w:rPr>
                <w:rFonts w:eastAsia="Calibri" w:cs="Times New Roman"/>
                <w:sz w:val="22"/>
                <w:szCs w:val="22"/>
              </w:rPr>
              <w:t>6</w:t>
            </w:r>
          </w:p>
        </w:tc>
        <w:tc>
          <w:tcPr>
            <w:tcW w:w="2147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/>
              </w:rPr>
            </w:pPr>
            <w:r>
              <w:rPr>
                <w:rFonts w:eastAsia="Calibri" w:cs="Calibri"/>
                <w:sz w:val="22"/>
                <w:szCs w:val="22"/>
              </w:rPr>
              <w:t>Zgodność operacji z zasadą zrównoważonego rozwoju</w:t>
            </w:r>
          </w:p>
        </w:tc>
        <w:tc>
          <w:tcPr>
            <w:tcW w:w="968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/>
                <w:sz w:val="18"/>
                <w:szCs w:val="18"/>
              </w:rPr>
            </w:pPr>
            <w:r>
              <w:rPr>
                <w:rFonts w:eastAsia="Calibri" w:cs="Calibri"/>
              </w:rPr>
              <w:t>Preferowane są operacje zgodne z zasadą zrównoważonego rozwoju UE. Wnioskodawca przewidział w budżecie koszty rozwiązań proekologicznych i opisał w jaki sposób jego operacja będzie realizowana z poszanowaniem zasady zrównoważonego rozwoju</w:t>
            </w:r>
            <w:r>
              <w:rPr>
                <w:rFonts w:eastAsia="Calibri" w:cs="Calibri"/>
                <w:sz w:val="18"/>
                <w:szCs w:val="18"/>
              </w:rPr>
              <w:t xml:space="preserve">.  </w:t>
            </w:r>
          </w:p>
          <w:p>
            <w:pPr>
              <w:pStyle w:val="Normal"/>
              <w:numPr>
                <w:ilvl w:val="0"/>
                <w:numId w:val="9"/>
              </w:numPr>
              <w:spacing w:lineRule="auto" w:line="240" w:before="120" w:after="160"/>
              <w:ind w:left="714" w:hanging="357"/>
              <w:contextualSpacing/>
              <w:rPr>
                <w:rFonts w:cs="Calibri"/>
              </w:rPr>
            </w:pPr>
            <w:r>
              <w:rPr>
                <w:rFonts w:eastAsia="Calibri" w:cs="Calibri"/>
              </w:rPr>
              <w:t>W ramach operacji przewidziano, że co najmniej 15 % kosztów kwalifikowalnych będzie przeznaczone na :</w:t>
            </w:r>
          </w:p>
          <w:p>
            <w:pPr>
              <w:pStyle w:val="Normal"/>
              <w:spacing w:lineRule="auto" w:line="240" w:before="0" w:after="160"/>
              <w:ind w:left="720" w:hanging="0"/>
              <w:contextualSpacing/>
              <w:rPr>
                <w:rFonts w:cs="Calibri"/>
              </w:rPr>
            </w:pPr>
            <w:r>
              <w:rPr>
                <w:rFonts w:eastAsia="Calibri" w:cs="Calibri"/>
              </w:rPr>
              <w:t>-   rozwiązania proekologiczne (np. oszczędność wody i energii, powtórne wykorzystanie zasobów, instalacje OZE itp. z uwzględnieniem, że suma planowanych do poniesienia kosztów OZE nie przekracza 50% kosztów kwalifikowalnych)</w:t>
            </w:r>
          </w:p>
          <w:p>
            <w:pPr>
              <w:pStyle w:val="Normal"/>
              <w:spacing w:lineRule="auto" w:line="240" w:before="0" w:after="160"/>
              <w:ind w:left="720" w:hanging="0"/>
              <w:contextualSpacing/>
              <w:rPr>
                <w:rFonts w:cs="Calibri"/>
              </w:rPr>
            </w:pPr>
            <w:r>
              <w:rPr>
                <w:rFonts w:eastAsia="Calibri" w:cs="Calibri"/>
              </w:rPr>
              <w:t xml:space="preserve">- zastosowanie elementów zielonej infrastruktury (zwiększenie powierzchni biologicznie czynnej, tworzenie zielonych dachów, ścian itp.) </w:t>
            </w:r>
          </w:p>
          <w:p>
            <w:pPr>
              <w:pStyle w:val="Normal"/>
              <w:spacing w:lineRule="auto" w:line="240" w:before="0" w:after="160"/>
              <w:ind w:left="720" w:hanging="0"/>
              <w:contextualSpacing/>
              <w:rPr>
                <w:rFonts w:cs="Calibri"/>
              </w:rPr>
            </w:pPr>
            <w:r>
              <w:rPr>
                <w:rFonts w:eastAsia="Calibri" w:cs="Calibri"/>
              </w:rPr>
              <w:t xml:space="preserve">- zastosowanie elementów błękitnej infrastruktury dotyczącej systemu gospodarowania wodą (studni chłonnych, nawierzchni przepuszczalnych, zbiorników na wodę opadową, niecek chłonnych, rowów infiltracyjnych, tworzenie ogrodów deszczowych i innych elementów małej retencji) – </w:t>
            </w:r>
            <w:r>
              <w:rPr>
                <w:rFonts w:eastAsia="Calibri" w:cs="Calibri"/>
                <w:b/>
                <w:bCs/>
              </w:rPr>
              <w:t>2 pkt</w:t>
            </w:r>
          </w:p>
          <w:p>
            <w:pPr>
              <w:pStyle w:val="Normal"/>
              <w:numPr>
                <w:ilvl w:val="0"/>
                <w:numId w:val="9"/>
              </w:numPr>
              <w:spacing w:lineRule="auto" w:line="240" w:before="0" w:after="120"/>
              <w:contextualSpacing/>
              <w:rPr>
                <w:rFonts w:cs="Calibri"/>
              </w:rPr>
            </w:pPr>
            <w:r>
              <w:rPr>
                <w:rFonts w:eastAsia="Calibri" w:cs="Calibri"/>
              </w:rPr>
              <w:t xml:space="preserve">Żadne z powyższych nie będzie realizowane w ramach operacji lub nieprecyzyjnie/niewystarczająco uzasadniono spełnienie kryterium - </w:t>
            </w:r>
            <w:r>
              <w:rPr>
                <w:rFonts w:eastAsia="Calibri" w:cs="Calibri"/>
                <w:b/>
                <w:bCs/>
              </w:rPr>
              <w:t>0 pkt</w:t>
            </w:r>
          </w:p>
          <w:p>
            <w:pPr>
              <w:pStyle w:val="Normal"/>
              <w:spacing w:lineRule="auto" w:line="240" w:before="0" w:after="0"/>
              <w:rPr>
                <w:rFonts w:cs="Calibri"/>
                <w:b/>
                <w:b/>
                <w:bCs/>
              </w:rPr>
            </w:pPr>
            <w:r>
              <w:rPr>
                <w:rFonts w:eastAsia="Calibri" w:cs="Calibri"/>
                <w:b/>
                <w:bCs/>
              </w:rPr>
              <w:t xml:space="preserve">Punkty w tym kryterium sumują się. </w:t>
            </w:r>
          </w:p>
          <w:p>
            <w:pPr>
              <w:pStyle w:val="Normal"/>
              <w:spacing w:lineRule="auto" w:line="240" w:before="0" w:after="0"/>
              <w:rPr>
                <w:rFonts w:cs="Calibri"/>
              </w:rPr>
            </w:pPr>
            <w:r>
              <w:rPr>
                <w:rFonts w:eastAsia="Calibri" w:cs="Calibri"/>
              </w:rPr>
              <w:t>Weryfikacja na podstawie zapisów wniosku o przyznanie pomocy w tym budżetu operacji</w:t>
            </w:r>
          </w:p>
        </w:tc>
        <w:tc>
          <w:tcPr>
            <w:tcW w:w="166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/>
                <w:b/>
                <w:b/>
                <w:bCs/>
              </w:rPr>
            </w:pPr>
            <w:r>
              <w:rPr>
                <w:rFonts w:eastAsia="Calibri" w:cs="Calibri"/>
                <w:b/>
                <w:bCs/>
                <w:sz w:val="22"/>
                <w:szCs w:val="22"/>
              </w:rPr>
              <w:t xml:space="preserve">0 lub 2 pkt </w:t>
            </w:r>
          </w:p>
        </w:tc>
      </w:tr>
      <w:tr>
        <w:trPr/>
        <w:tc>
          <w:tcPr>
            <w:tcW w:w="496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Times New Roman"/>
                <w:sz w:val="22"/>
                <w:szCs w:val="22"/>
              </w:rPr>
            </w:pPr>
            <w:r>
              <w:rPr>
                <w:rFonts w:eastAsia="Calibri" w:cs="Times New Roman"/>
                <w:sz w:val="22"/>
                <w:szCs w:val="22"/>
              </w:rPr>
              <w:t>7</w:t>
            </w:r>
          </w:p>
        </w:tc>
        <w:tc>
          <w:tcPr>
            <w:tcW w:w="2147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/>
              </w:rPr>
            </w:pPr>
            <w:r>
              <w:rPr>
                <w:rFonts w:eastAsia="Calibri" w:cs="Calibri"/>
                <w:sz w:val="22"/>
                <w:szCs w:val="22"/>
              </w:rPr>
              <w:t>Przygotowanie projektu do realizacji</w:t>
            </w:r>
          </w:p>
        </w:tc>
        <w:tc>
          <w:tcPr>
            <w:tcW w:w="968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/>
              </w:rPr>
            </w:pPr>
            <w:r>
              <w:rPr>
                <w:rFonts w:eastAsia="Calibri" w:cs="Calibri"/>
                <w:sz w:val="22"/>
                <w:szCs w:val="22"/>
              </w:rPr>
              <w:t>Preferuje się wnioskodawców gotowych do realizacji operacji. Gotowość do realizacji operacji oznacza przedłożenie wraz z wnioskiem o dofinansowanie operacji dokumentów,  potwierdzających realność budżetu operacji.</w:t>
            </w:r>
            <w:r>
              <w:rPr>
                <w:rFonts w:eastAsia="Calibri"/>
                <w:sz w:val="22"/>
                <w:szCs w:val="22"/>
              </w:rPr>
              <w:t xml:space="preserve"> </w:t>
            </w:r>
            <w:r>
              <w:rPr>
                <w:rFonts w:eastAsia="Calibri" w:cs="Calibri"/>
                <w:sz w:val="22"/>
                <w:szCs w:val="22"/>
              </w:rPr>
              <w:t xml:space="preserve">W przypadku robót budowlanych: </w:t>
            </w:r>
          </w:p>
          <w:p>
            <w:pPr>
              <w:pStyle w:val="Normal"/>
              <w:spacing w:lineRule="auto" w:line="240" w:before="0" w:after="0"/>
              <w:ind w:firstLine="628"/>
              <w:rPr>
                <w:rFonts w:cs="Calibri"/>
              </w:rPr>
            </w:pPr>
            <w:r>
              <w:rPr>
                <w:rFonts w:eastAsia="Calibri" w:cs="Calibri"/>
                <w:sz w:val="22"/>
                <w:szCs w:val="22"/>
              </w:rPr>
              <w:t>- kosztorys inwestorski przygotowany zgodnie z przepisami rozporządzenia Ministra Rozwoju i Technologii z dnia 20.12.2021 r. w sprawie określenia metod i podstaw sporządzania kosztorysu inwestorskiego, obliczania planowanych kosztów prac projektowych oraz planowanych kosztów robót budowlanych określonych w programie funkcjonalno –użytkowym (Dz. U. 2021 poz. 2458).</w:t>
            </w:r>
          </w:p>
          <w:p>
            <w:pPr>
              <w:pStyle w:val="Normal"/>
              <w:spacing w:lineRule="auto" w:line="240" w:before="0" w:after="0"/>
              <w:rPr>
                <w:rFonts w:cs="Calibri"/>
              </w:rPr>
            </w:pPr>
            <w:r>
              <w:rPr>
                <w:rFonts w:eastAsia="Calibri" w:cs="Calibri"/>
                <w:sz w:val="22"/>
                <w:szCs w:val="22"/>
              </w:rPr>
              <w:t>W przypadku zakupu produktów i usług oraz zamiennie dla kosztorysu inwestorskiego:</w:t>
            </w:r>
          </w:p>
          <w:p>
            <w:pPr>
              <w:pStyle w:val="Normal"/>
              <w:spacing w:lineRule="auto" w:line="240" w:before="0" w:after="0"/>
              <w:ind w:firstLine="628"/>
              <w:rPr>
                <w:rFonts w:cs="Calibri"/>
              </w:rPr>
            </w:pPr>
            <w:r>
              <w:rPr>
                <w:rFonts w:eastAsia="Calibri" w:cs="Calibri"/>
                <w:sz w:val="22"/>
                <w:szCs w:val="22"/>
              </w:rPr>
              <w:t xml:space="preserve">- po dwie oferty kosztowe  od różnych usługodawców/sprzedawców dla każdej pozycji w budżecie (w postaci ofert, e-maili, wydruków z Internetu, stron katalogów itp.) lub dla pozycji w kosztorysie dla której nie określono numeru katalogu nakładów rzeczowych. </w:t>
            </w:r>
          </w:p>
          <w:p>
            <w:pPr>
              <w:pStyle w:val="Normal"/>
              <w:spacing w:lineRule="auto" w:line="240" w:before="0" w:after="120"/>
              <w:rPr>
                <w:rFonts w:cs="Calibri"/>
              </w:rPr>
            </w:pPr>
            <w:r>
              <w:rPr>
                <w:rFonts w:eastAsia="Calibri" w:cs="Calibri"/>
                <w:sz w:val="22"/>
                <w:szCs w:val="22"/>
              </w:rPr>
              <w:t>W przypadku usług nietypowych, gdzie nie ma możliwości zdobycia ofert od dwóch dostawców lub wykonawców, w szczególności ze względu na konieczność zastosowania technologii zgodnej z technologią produkcji, stosowaną przez podmiot ubiegający się o przyznanie pomocy- na podstawie co najmniej 1 oferty wraz z oświadczeniem sporządzonym przez wnioskodawcę, zawierającym informację o braku możliwości nabycia danych rzeczy lub usług od dwóch dostawców lub wykonawców wraz z uzasadnieniem.</w:t>
            </w:r>
          </w:p>
          <w:p>
            <w:pPr>
              <w:pStyle w:val="Normal"/>
              <w:spacing w:lineRule="auto" w:line="240" w:before="0" w:after="120"/>
              <w:rPr>
                <w:rFonts w:cs="Calibri"/>
              </w:rPr>
            </w:pPr>
            <w:r>
              <w:rPr>
                <w:rFonts w:eastAsia="Calibri" w:cs="Calibri"/>
                <w:sz w:val="22"/>
                <w:szCs w:val="22"/>
              </w:rPr>
              <w:t>Wnioskodawca złożył wskazane dokumenty w ramach naboru:</w:t>
            </w:r>
          </w:p>
          <w:p>
            <w:pPr>
              <w:pStyle w:val="Normal"/>
              <w:numPr>
                <w:ilvl w:val="0"/>
                <w:numId w:val="10"/>
              </w:numPr>
              <w:spacing w:lineRule="auto" w:line="240" w:before="0" w:after="160"/>
              <w:contextualSpacing/>
              <w:rPr>
                <w:rFonts w:cs="Calibri"/>
              </w:rPr>
            </w:pPr>
            <w:r>
              <w:rPr>
                <w:rFonts w:eastAsia="Calibri" w:cs="Calibri"/>
                <w:sz w:val="22"/>
                <w:szCs w:val="22"/>
              </w:rPr>
              <w:t xml:space="preserve">Tak – </w:t>
            </w:r>
            <w:r>
              <w:rPr>
                <w:rFonts w:eastAsia="Calibri" w:cs="Calibri"/>
                <w:b/>
                <w:bCs/>
                <w:sz w:val="22"/>
                <w:szCs w:val="22"/>
              </w:rPr>
              <w:t>3 pkt</w:t>
            </w:r>
          </w:p>
          <w:p>
            <w:pPr>
              <w:pStyle w:val="Normal"/>
              <w:numPr>
                <w:ilvl w:val="0"/>
                <w:numId w:val="10"/>
              </w:numPr>
              <w:spacing w:lineRule="auto" w:line="240" w:before="0" w:after="120"/>
              <w:ind w:left="714" w:hanging="357"/>
              <w:contextualSpacing/>
              <w:rPr>
                <w:rFonts w:cs="Calibri"/>
              </w:rPr>
            </w:pPr>
            <w:r>
              <w:rPr>
                <w:rFonts w:eastAsia="Calibri" w:cs="Calibri"/>
                <w:sz w:val="22"/>
                <w:szCs w:val="22"/>
              </w:rPr>
              <w:t xml:space="preserve">Nie lub dokumentacja nie jest kompletna – </w:t>
            </w:r>
            <w:r>
              <w:rPr>
                <w:rFonts w:eastAsia="Calibri" w:cs="Calibri"/>
                <w:b/>
                <w:bCs/>
                <w:sz w:val="22"/>
                <w:szCs w:val="22"/>
              </w:rPr>
              <w:t>0 pkt.</w:t>
            </w:r>
          </w:p>
          <w:p>
            <w:pPr>
              <w:pStyle w:val="Normal"/>
              <w:spacing w:lineRule="auto" w:line="240" w:before="0" w:after="0"/>
              <w:rPr>
                <w:rFonts w:cs="Calibri"/>
              </w:rPr>
            </w:pPr>
            <w:r>
              <w:rPr>
                <w:rFonts w:eastAsia="Calibri" w:cs="Calibri"/>
                <w:sz w:val="22"/>
                <w:szCs w:val="22"/>
              </w:rPr>
              <w:t xml:space="preserve">Weryfikacja na podstawie załączników odpowiednich do zakresu wniosku o przyznanie pomocy. </w:t>
            </w:r>
          </w:p>
        </w:tc>
        <w:tc>
          <w:tcPr>
            <w:tcW w:w="166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/>
                <w:b/>
                <w:b/>
                <w:bCs/>
              </w:rPr>
            </w:pPr>
            <w:r>
              <w:rPr>
                <w:rFonts w:eastAsia="Calibri" w:cs="Calibri"/>
                <w:b/>
                <w:bCs/>
                <w:sz w:val="22"/>
                <w:szCs w:val="22"/>
              </w:rPr>
              <w:t>0 lub 3 pkt</w:t>
            </w:r>
          </w:p>
        </w:tc>
      </w:tr>
      <w:tr>
        <w:trPr/>
        <w:tc>
          <w:tcPr>
            <w:tcW w:w="496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bCs/>
              </w:rPr>
            </w:pPr>
            <w:r>
              <w:rPr>
                <w:rFonts w:eastAsia="Calibri" w:cs="Times New Roman"/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2147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/>
              </w:rPr>
            </w:pPr>
            <w:r>
              <w:rPr>
                <w:rFonts w:eastAsia="Calibri" w:cs="Calibri"/>
                <w:sz w:val="22"/>
                <w:szCs w:val="22"/>
              </w:rPr>
              <w:t xml:space="preserve">Wpływ realizowanej operacji na promocję Stowarzyszenia „Bursztynowy Pasaż” </w:t>
            </w:r>
          </w:p>
        </w:tc>
        <w:tc>
          <w:tcPr>
            <w:tcW w:w="9684" w:type="dxa"/>
            <w:tcBorders/>
            <w:shd w:fill="auto" w:val="clear"/>
          </w:tcPr>
          <w:p>
            <w:pPr>
              <w:pStyle w:val="Normal"/>
              <w:spacing w:lineRule="auto" w:line="240" w:before="0" w:after="120"/>
              <w:rPr>
                <w:rFonts w:cs="Calibri"/>
              </w:rPr>
            </w:pPr>
            <w:r>
              <w:rPr>
                <w:rFonts w:eastAsia="Calibri" w:cs="Calibri"/>
                <w:sz w:val="22"/>
                <w:szCs w:val="22"/>
              </w:rPr>
              <w:t xml:space="preserve">Preferowane są operacje, które przyczyniają się do promocji Stowarzyszenia „Bursztynowy Pasaż” poprzez deklarację: </w:t>
            </w:r>
          </w:p>
          <w:p>
            <w:pPr>
              <w:pStyle w:val="Normal"/>
              <w:numPr>
                <w:ilvl w:val="0"/>
                <w:numId w:val="11"/>
              </w:numPr>
              <w:spacing w:lineRule="auto" w:line="240" w:before="0" w:after="160"/>
              <w:contextualSpacing/>
              <w:rPr>
                <w:rFonts w:cs="Calibri"/>
              </w:rPr>
            </w:pPr>
            <w:r>
              <w:rPr>
                <w:rFonts w:eastAsia="Calibri" w:cs="Calibri"/>
                <w:sz w:val="22"/>
                <w:szCs w:val="22"/>
              </w:rPr>
              <w:t xml:space="preserve">zastosowania w obszarze wizualizacji określonym w Księdze wizualizacji logo Planu Strategicznego dla Wspólnej Polityki Rolnej na lata 2023-2027 logotypu Stowarzyszenia „Bursztynowy Pasaż” we wszystkich zastosowanych przez Beneficjenta działaniach informacyjno – promocyjnych operacji (tablica lub plakat informacyjny (odpowiednio do wymogów Księgi wizualizacji), strona internetowa, media społecznościowe, prasa, radio, tv, wizytówki, teczki, ulotki, gadżety promocyjne i inne) - </w:t>
            </w:r>
            <w:r>
              <w:rPr>
                <w:rFonts w:eastAsia="Calibri" w:cs="Calibri"/>
                <w:b/>
                <w:bCs/>
                <w:sz w:val="22"/>
                <w:szCs w:val="22"/>
              </w:rPr>
              <w:t>1pkt</w:t>
            </w:r>
          </w:p>
          <w:p>
            <w:pPr>
              <w:pStyle w:val="Normal"/>
              <w:numPr>
                <w:ilvl w:val="0"/>
                <w:numId w:val="11"/>
              </w:numPr>
              <w:spacing w:lineRule="auto" w:line="240" w:before="0" w:after="160"/>
              <w:contextualSpacing/>
              <w:rPr/>
            </w:pPr>
            <w:r>
              <w:rPr>
                <w:rFonts w:eastAsia="Calibri" w:cs="Calibri"/>
                <w:sz w:val="22"/>
                <w:szCs w:val="22"/>
              </w:rPr>
              <w:t xml:space="preserve">opublikowania na stronie internetowej i w mediach społecznościowych Beneficjenta dotyczących  operacji (jeżeli posiada) aktywnego linku odsyłającego odbiorców do strony Stowarzyszenia „Bursztynowy Pasaż”: </w:t>
            </w:r>
            <w:hyperlink r:id="rId2">
              <w:r>
                <w:rPr>
                  <w:rStyle w:val="ListLabel7"/>
                  <w:rFonts w:eastAsia="Calibri" w:cs="Calibri"/>
                  <w:color w:val="0563C1"/>
                  <w:sz w:val="22"/>
                  <w:szCs w:val="22"/>
                  <w:u w:val="single"/>
                </w:rPr>
                <w:t>www.bursztynowypasaz.pl</w:t>
              </w:r>
            </w:hyperlink>
            <w:r>
              <w:rPr>
                <w:rFonts w:eastAsia="Calibri" w:cs="Calibri"/>
                <w:sz w:val="22"/>
                <w:szCs w:val="22"/>
              </w:rPr>
              <w:t xml:space="preserve"> oraz fanpage’u LGD na Facebook’u </w:t>
            </w:r>
            <w:hyperlink r:id="rId3">
              <w:r>
                <w:rPr>
                  <w:rStyle w:val="Czeinternetowe"/>
                  <w:rFonts w:eastAsia="Calibri" w:cs="Calibri"/>
                  <w:sz w:val="22"/>
                  <w:szCs w:val="22"/>
                </w:rPr>
                <w:t>https://www.facebook.com/bursztynowypasaz</w:t>
              </w:r>
            </w:hyperlink>
            <w:r>
              <w:rPr>
                <w:rFonts w:eastAsia="Calibri" w:cs="Calibri"/>
                <w:sz w:val="22"/>
                <w:szCs w:val="22"/>
              </w:rPr>
              <w:t xml:space="preserve">. - </w:t>
            </w:r>
            <w:r>
              <w:rPr>
                <w:rFonts w:eastAsia="Calibri" w:cs="Calibri"/>
                <w:b/>
                <w:bCs/>
                <w:sz w:val="22"/>
                <w:szCs w:val="22"/>
              </w:rPr>
              <w:t>1 Pkt</w:t>
            </w:r>
          </w:p>
          <w:p>
            <w:pPr>
              <w:pStyle w:val="Normal"/>
              <w:numPr>
                <w:ilvl w:val="0"/>
                <w:numId w:val="11"/>
              </w:numPr>
              <w:spacing w:lineRule="auto" w:line="240" w:before="0" w:after="120"/>
              <w:contextualSpacing/>
              <w:rPr>
                <w:rFonts w:cs="Calibri"/>
              </w:rPr>
            </w:pPr>
            <w:r>
              <w:rPr>
                <w:rFonts w:eastAsia="Calibri" w:cs="Calibri"/>
                <w:sz w:val="22"/>
                <w:szCs w:val="22"/>
              </w:rPr>
              <w:t>Wnioskodawca nie deklaruje promocji Stowarzyszenia w żaden z wymienionych sposobów -</w:t>
            </w:r>
            <w:r>
              <w:rPr>
                <w:rFonts w:eastAsia="Calibri" w:cs="Calibri"/>
                <w:b/>
                <w:bCs/>
                <w:sz w:val="22"/>
                <w:szCs w:val="22"/>
              </w:rPr>
              <w:t xml:space="preserve"> 0 pkt</w:t>
            </w:r>
          </w:p>
          <w:p>
            <w:pPr>
              <w:pStyle w:val="Normal"/>
              <w:spacing w:lineRule="auto" w:line="240" w:before="0" w:after="120"/>
              <w:rPr>
                <w:rFonts w:cs="Calibri"/>
                <w:b/>
                <w:b/>
                <w:bCs/>
              </w:rPr>
            </w:pPr>
            <w:r>
              <w:rPr>
                <w:rFonts w:eastAsia="Calibri" w:cs="Calibri"/>
                <w:b/>
                <w:bCs/>
                <w:sz w:val="22"/>
                <w:szCs w:val="22"/>
              </w:rPr>
              <w:t>Punkty  w tym kryterium” sumują się</w:t>
            </w:r>
          </w:p>
          <w:p>
            <w:pPr>
              <w:pStyle w:val="Normal"/>
              <w:spacing w:lineRule="auto" w:line="240" w:before="0" w:after="120"/>
              <w:rPr>
                <w:rFonts w:cs="Calibri"/>
              </w:rPr>
            </w:pPr>
            <w:r>
              <w:rPr>
                <w:rFonts w:eastAsia="Calibri" w:cs="Calibri"/>
                <w:sz w:val="22"/>
                <w:szCs w:val="22"/>
              </w:rPr>
              <w:t>Weryfikacja na podstawie zapisów wniosku o przyznanie pomocy.</w:t>
            </w:r>
          </w:p>
        </w:tc>
        <w:tc>
          <w:tcPr>
            <w:tcW w:w="166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/>
                <w:b/>
                <w:b/>
                <w:bCs/>
              </w:rPr>
            </w:pPr>
            <w:r>
              <w:rPr>
                <w:rFonts w:eastAsia="Calibri" w:cs="Calibri"/>
                <w:b/>
                <w:bCs/>
                <w:sz w:val="22"/>
                <w:szCs w:val="22"/>
              </w:rPr>
              <w:t>Od 0 do 2 pkt</w:t>
            </w:r>
          </w:p>
        </w:tc>
      </w:tr>
      <w:tr>
        <w:trPr/>
        <w:tc>
          <w:tcPr>
            <w:tcW w:w="2643" w:type="dxa"/>
            <w:gridSpan w:val="4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/>
              </w:rPr>
            </w:pPr>
            <w:r>
              <w:rPr>
                <w:rFonts w:eastAsia="Calibri" w:cs="Calibri"/>
                <w:sz w:val="22"/>
                <w:szCs w:val="22"/>
              </w:rPr>
              <w:t>Suma/minimum</w:t>
            </w:r>
          </w:p>
        </w:tc>
        <w:tc>
          <w:tcPr>
            <w:tcW w:w="11350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cs="Calibri"/>
                <w:b/>
                <w:b/>
                <w:bCs/>
              </w:rPr>
            </w:pPr>
            <w:r>
              <w:rPr>
                <w:rFonts w:eastAsia="Calibri" w:cs="Calibri"/>
                <w:b/>
                <w:bCs/>
                <w:sz w:val="22"/>
                <w:szCs w:val="22"/>
              </w:rPr>
              <w:t>18/7</w:t>
            </w:r>
          </w:p>
        </w:tc>
      </w:tr>
    </w:tbl>
    <w:p>
      <w:pPr>
        <w:pStyle w:val="Normal"/>
        <w:spacing w:lineRule="auto" w:line="254"/>
        <w:rPr>
          <w:rFonts w:ascii="Calibri" w:hAnsi="Calibri"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</w:r>
    </w:p>
    <w:p>
      <w:pPr>
        <w:pStyle w:val="Normal"/>
        <w:spacing w:lineRule="auto" w:line="252"/>
        <w:rPr>
          <w:rFonts w:ascii="Calibri" w:hAnsi="Calibri" w:eastAsia="Calibri" w:cs="Times New Roman"/>
          <w:sz w:val="22"/>
          <w:szCs w:val="22"/>
        </w:rPr>
      </w:pPr>
      <w:r>
        <w:rPr>
          <w:rFonts w:eastAsia="Calibri" w:cs="Times New Roman"/>
          <w:sz w:val="22"/>
          <w:szCs w:val="22"/>
        </w:rPr>
        <w:t>W przypadku tej samej liczby punktów o kolejności na liście operacji wybranych decyduje odpowiednio:</w:t>
      </w:r>
    </w:p>
    <w:p>
      <w:pPr>
        <w:pStyle w:val="Normal"/>
        <w:numPr>
          <w:ilvl w:val="0"/>
          <w:numId w:val="12"/>
        </w:numPr>
        <w:spacing w:lineRule="auto" w:line="252" w:before="0" w:after="160"/>
        <w:contextualSpacing/>
        <w:rPr>
          <w:rFonts w:ascii="Calibri" w:hAnsi="Calibri" w:eastAsia="Calibri" w:cs="Times New Roman"/>
        </w:rPr>
      </w:pPr>
      <w:r>
        <w:rPr>
          <w:rFonts w:eastAsia="Calibri" w:cs="Times New Roman"/>
        </w:rPr>
        <w:t>wyższa liczba punktów w kryterium 5 „Dostępność dla osób ze szczególnymi potrzebami”, w dalszej kolejności;</w:t>
      </w:r>
    </w:p>
    <w:p>
      <w:pPr>
        <w:pStyle w:val="Normal"/>
        <w:numPr>
          <w:ilvl w:val="0"/>
          <w:numId w:val="12"/>
        </w:numPr>
        <w:spacing w:lineRule="auto" w:line="252" w:before="0" w:after="160"/>
        <w:contextualSpacing/>
        <w:rPr>
          <w:rFonts w:ascii="Calibri" w:hAnsi="Calibri" w:eastAsia="Calibri" w:cs="Times New Roman"/>
        </w:rPr>
      </w:pPr>
      <w:r>
        <w:rPr>
          <w:rFonts w:eastAsia="Calibri" w:cs="Times New Roman"/>
        </w:rPr>
        <w:t xml:space="preserve">wyższa liczba punktów w kryterium 7 „Przygotowanie projektu do realizacji”, </w:t>
      </w:r>
    </w:p>
    <w:p>
      <w:pPr>
        <w:pStyle w:val="Normal"/>
        <w:numPr>
          <w:ilvl w:val="0"/>
          <w:numId w:val="12"/>
        </w:numPr>
        <w:spacing w:lineRule="auto" w:line="252" w:before="0" w:after="160"/>
        <w:contextualSpacing/>
        <w:rPr>
          <w:rFonts w:ascii="Calibri" w:hAnsi="Calibri" w:eastAsia="Calibri" w:cs="Times New Roman"/>
        </w:rPr>
      </w:pPr>
      <w:r>
        <w:rPr>
          <w:rFonts w:eastAsia="Calibri" w:cs="Times New Roman"/>
        </w:rPr>
        <w:t>wyższa wartość „Współczynnika obciążenia demograficznego osobami starszymi” w gminie, w której siedzibę lub oddział ma Wnioskodawca  wg. danych z GUS za 2024 rok.</w:t>
      </w:r>
    </w:p>
    <w:tbl>
      <w:tblPr>
        <w:tblW w:w="9355" w:type="dxa"/>
        <w:jc w:val="left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70" w:type="dxa"/>
          <w:bottom w:w="0" w:type="dxa"/>
          <w:right w:w="70" w:type="dxa"/>
        </w:tblCellMar>
        <w:tblLook w:firstRow="1" w:noVBand="1" w:lastRow="0" w:firstColumn="1" w:lastColumn="0" w:noHBand="0" w:val="04a0"/>
      </w:tblPr>
      <w:tblGrid>
        <w:gridCol w:w="2551"/>
        <w:gridCol w:w="6803"/>
      </w:tblGrid>
      <w:tr>
        <w:trPr>
          <w:trHeight w:val="411" w:hRule="atLeast"/>
        </w:trPr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3D3D3" w:val="clear"/>
            <w:vAlign w:val="center"/>
          </w:tcPr>
          <w:p>
            <w:pPr>
              <w:pStyle w:val="Normal"/>
              <w:spacing w:lineRule="auto" w:line="252" w:before="0" w:after="160"/>
              <w:rPr>
                <w:rFonts w:ascii="Calibri" w:hAnsi="Calibri" w:eastAsia="Calibri" w:cs="Times New Roman"/>
                <w:sz w:val="22"/>
                <w:szCs w:val="22"/>
              </w:rPr>
            </w:pPr>
            <w:r>
              <w:rPr>
                <w:rFonts w:eastAsia="Calibri" w:cs="Times New Roman"/>
                <w:sz w:val="22"/>
                <w:szCs w:val="22"/>
              </w:rPr>
              <w:t>Nazwa</w:t>
            </w:r>
          </w:p>
        </w:tc>
        <w:tc>
          <w:tcPr>
            <w:tcW w:w="680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3D3D3" w:val="clear"/>
            <w:vAlign w:val="center"/>
          </w:tcPr>
          <w:p>
            <w:pPr>
              <w:pStyle w:val="Normal"/>
              <w:spacing w:lineRule="auto" w:line="252" w:before="0" w:after="160"/>
              <w:rPr>
                <w:rFonts w:ascii="Calibri" w:hAnsi="Calibri" w:eastAsia="Calibri" w:cs="Times New Roman"/>
                <w:sz w:val="22"/>
                <w:szCs w:val="22"/>
              </w:rPr>
            </w:pPr>
            <w:r>
              <w:rPr>
                <w:rFonts w:eastAsia="Calibri" w:cs="Times New Roman"/>
                <w:sz w:val="22"/>
                <w:szCs w:val="22"/>
              </w:rPr>
              <w:t>współczynnik obciążenia demograficznego osobami starszymi</w:t>
            </w:r>
          </w:p>
        </w:tc>
      </w:tr>
      <w:tr>
        <w:trPr>
          <w:trHeight w:val="288" w:hRule="atLeast"/>
        </w:trPr>
        <w:tc>
          <w:tcPr>
            <w:tcW w:w="25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54" w:before="0" w:after="0"/>
              <w:rPr>
                <w:rFonts w:ascii="Calibri" w:hAnsi="Calibri" w:eastAsia="Calibri" w:cs="Times New Roman"/>
                <w:sz w:val="22"/>
                <w:szCs w:val="22"/>
              </w:rPr>
            </w:pPr>
            <w:r>
              <w:rPr>
                <w:rFonts w:eastAsia="Calibri" w:cs="Times New Roman"/>
                <w:sz w:val="22"/>
                <w:szCs w:val="22"/>
              </w:rPr>
            </w:r>
          </w:p>
        </w:tc>
        <w:tc>
          <w:tcPr>
            <w:tcW w:w="6803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3D3D3" w:val="clear"/>
            <w:vAlign w:val="center"/>
          </w:tcPr>
          <w:p>
            <w:pPr>
              <w:pStyle w:val="Normal"/>
              <w:spacing w:lineRule="auto" w:line="252" w:before="0" w:after="160"/>
              <w:rPr>
                <w:rFonts w:ascii="Calibri" w:hAnsi="Calibri" w:eastAsia="Calibri" w:cs="Times New Roman"/>
                <w:sz w:val="22"/>
                <w:szCs w:val="22"/>
              </w:rPr>
            </w:pPr>
            <w:r>
              <w:rPr>
                <w:rFonts w:eastAsia="Calibri" w:cs="Times New Roman"/>
                <w:sz w:val="22"/>
                <w:szCs w:val="22"/>
              </w:rPr>
              <w:t>2024</w:t>
            </w:r>
          </w:p>
        </w:tc>
      </w:tr>
      <w:tr>
        <w:trPr>
          <w:trHeight w:val="58" w:hRule="atLeast"/>
        </w:trPr>
        <w:tc>
          <w:tcPr>
            <w:tcW w:w="25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54" w:before="0" w:after="0"/>
              <w:rPr>
                <w:rFonts w:ascii="Calibri" w:hAnsi="Calibri" w:eastAsia="Calibri" w:cs="Times New Roman"/>
                <w:sz w:val="22"/>
                <w:szCs w:val="22"/>
              </w:rPr>
            </w:pPr>
            <w:r>
              <w:rPr>
                <w:rFonts w:eastAsia="Calibri" w:cs="Times New Roman"/>
                <w:sz w:val="22"/>
                <w:szCs w:val="22"/>
              </w:rPr>
            </w:r>
          </w:p>
        </w:tc>
        <w:tc>
          <w:tcPr>
            <w:tcW w:w="6803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3D3D3" w:val="clear"/>
            <w:vAlign w:val="center"/>
          </w:tcPr>
          <w:p>
            <w:pPr>
              <w:pStyle w:val="Normal"/>
              <w:spacing w:lineRule="auto" w:line="252" w:before="0" w:after="160"/>
              <w:rPr>
                <w:rFonts w:ascii="Calibri" w:hAnsi="Calibri" w:eastAsia="Calibri" w:cs="Times New Roman"/>
                <w:sz w:val="22"/>
                <w:szCs w:val="22"/>
              </w:rPr>
            </w:pPr>
            <w:r>
              <w:rPr>
                <w:rFonts w:eastAsia="Calibri" w:cs="Times New Roman"/>
                <w:sz w:val="22"/>
                <w:szCs w:val="22"/>
              </w:rPr>
              <w:t>[osoba]</w:t>
            </w:r>
          </w:p>
        </w:tc>
      </w:tr>
      <w:tr>
        <w:trPr>
          <w:trHeight w:val="288" w:hRule="atLeast"/>
        </w:trPr>
        <w:tc>
          <w:tcPr>
            <w:tcW w:w="2551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52" w:before="0" w:after="160"/>
              <w:rPr>
                <w:rFonts w:ascii="Calibri" w:hAnsi="Calibri" w:eastAsia="Calibri" w:cs="Times New Roman"/>
                <w:sz w:val="22"/>
                <w:szCs w:val="22"/>
              </w:rPr>
            </w:pPr>
            <w:r>
              <w:rPr>
                <w:rFonts w:eastAsia="Calibri" w:cs="Times New Roman"/>
                <w:sz w:val="22"/>
                <w:szCs w:val="22"/>
              </w:rPr>
              <w:t>Łeba (1)</w:t>
            </w:r>
          </w:p>
        </w:tc>
        <w:tc>
          <w:tcPr>
            <w:tcW w:w="6803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52" w:before="0" w:after="160"/>
              <w:rPr>
                <w:rFonts w:ascii="Calibri" w:hAnsi="Calibri" w:eastAsia="Calibri" w:cs="Times New Roman"/>
                <w:sz w:val="22"/>
                <w:szCs w:val="22"/>
              </w:rPr>
            </w:pPr>
            <w:r>
              <w:rPr>
                <w:rFonts w:eastAsia="Calibri" w:cs="Times New Roman"/>
                <w:sz w:val="22"/>
                <w:szCs w:val="22"/>
              </w:rPr>
              <w:t>43,7</w:t>
            </w:r>
          </w:p>
        </w:tc>
      </w:tr>
      <w:tr>
        <w:trPr>
          <w:trHeight w:val="288" w:hRule="atLeast"/>
        </w:trPr>
        <w:tc>
          <w:tcPr>
            <w:tcW w:w="2551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52" w:before="0" w:after="160"/>
              <w:rPr>
                <w:rFonts w:ascii="Calibri" w:hAnsi="Calibri" w:eastAsia="Calibri" w:cs="Times New Roman"/>
                <w:sz w:val="22"/>
                <w:szCs w:val="22"/>
              </w:rPr>
            </w:pPr>
            <w:r>
              <w:rPr>
                <w:rFonts w:eastAsia="Calibri" w:cs="Times New Roman"/>
                <w:sz w:val="22"/>
                <w:szCs w:val="22"/>
              </w:rPr>
              <w:t>Cewice (2)</w:t>
            </w:r>
          </w:p>
        </w:tc>
        <w:tc>
          <w:tcPr>
            <w:tcW w:w="6803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52" w:before="0" w:after="160"/>
              <w:rPr>
                <w:rFonts w:ascii="Calibri" w:hAnsi="Calibri" w:eastAsia="Calibri" w:cs="Times New Roman"/>
                <w:sz w:val="22"/>
                <w:szCs w:val="22"/>
              </w:rPr>
            </w:pPr>
            <w:r>
              <w:rPr>
                <w:rFonts w:eastAsia="Calibri" w:cs="Times New Roman"/>
                <w:sz w:val="22"/>
                <w:szCs w:val="22"/>
              </w:rPr>
              <w:t>22,9</w:t>
            </w:r>
          </w:p>
        </w:tc>
      </w:tr>
      <w:tr>
        <w:trPr>
          <w:trHeight w:val="288" w:hRule="atLeast"/>
        </w:trPr>
        <w:tc>
          <w:tcPr>
            <w:tcW w:w="2551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52" w:before="0" w:after="160"/>
              <w:rPr>
                <w:rFonts w:ascii="Calibri" w:hAnsi="Calibri" w:eastAsia="Calibri" w:cs="Times New Roman"/>
                <w:sz w:val="22"/>
                <w:szCs w:val="22"/>
              </w:rPr>
            </w:pPr>
            <w:r>
              <w:rPr>
                <w:rFonts w:eastAsia="Calibri" w:cs="Times New Roman"/>
                <w:sz w:val="22"/>
                <w:szCs w:val="22"/>
              </w:rPr>
              <w:t>Nowa Wieś Lęborska (2)</w:t>
            </w:r>
          </w:p>
        </w:tc>
        <w:tc>
          <w:tcPr>
            <w:tcW w:w="6803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52" w:before="0" w:after="160"/>
              <w:rPr>
                <w:rFonts w:ascii="Calibri" w:hAnsi="Calibri" w:eastAsia="Calibri" w:cs="Times New Roman"/>
                <w:sz w:val="22"/>
                <w:szCs w:val="22"/>
              </w:rPr>
            </w:pPr>
            <w:r>
              <w:rPr>
                <w:rFonts w:eastAsia="Calibri" w:cs="Times New Roman"/>
                <w:sz w:val="22"/>
                <w:szCs w:val="22"/>
              </w:rPr>
              <w:t>24,4</w:t>
            </w:r>
          </w:p>
        </w:tc>
      </w:tr>
      <w:tr>
        <w:trPr>
          <w:trHeight w:val="288" w:hRule="atLeast"/>
        </w:trPr>
        <w:tc>
          <w:tcPr>
            <w:tcW w:w="2551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52" w:before="0" w:after="160"/>
              <w:rPr>
                <w:rFonts w:ascii="Calibri" w:hAnsi="Calibri" w:eastAsia="Calibri" w:cs="Times New Roman"/>
                <w:sz w:val="22"/>
                <w:szCs w:val="22"/>
              </w:rPr>
            </w:pPr>
            <w:r>
              <w:rPr>
                <w:rFonts w:eastAsia="Calibri" w:cs="Times New Roman"/>
                <w:sz w:val="22"/>
                <w:szCs w:val="22"/>
              </w:rPr>
              <w:t>Wicko (2)</w:t>
            </w:r>
          </w:p>
        </w:tc>
        <w:tc>
          <w:tcPr>
            <w:tcW w:w="6803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52" w:before="0" w:after="160"/>
              <w:rPr>
                <w:rFonts w:ascii="Calibri" w:hAnsi="Calibri" w:eastAsia="Calibri" w:cs="Times New Roman"/>
                <w:sz w:val="22"/>
                <w:szCs w:val="22"/>
              </w:rPr>
            </w:pPr>
            <w:r>
              <w:rPr>
                <w:rFonts w:eastAsia="Calibri" w:cs="Times New Roman"/>
                <w:sz w:val="22"/>
                <w:szCs w:val="22"/>
              </w:rPr>
              <w:t>26,1</w:t>
            </w:r>
          </w:p>
        </w:tc>
      </w:tr>
      <w:tr>
        <w:trPr>
          <w:trHeight w:val="288" w:hRule="atLeast"/>
        </w:trPr>
        <w:tc>
          <w:tcPr>
            <w:tcW w:w="2551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52" w:before="0" w:after="160"/>
              <w:rPr>
                <w:rFonts w:ascii="Calibri" w:hAnsi="Calibri" w:eastAsia="Calibri" w:cs="Times New Roman"/>
                <w:sz w:val="22"/>
                <w:szCs w:val="22"/>
              </w:rPr>
            </w:pPr>
            <w:r>
              <w:rPr>
                <w:rFonts w:eastAsia="Calibri" w:cs="Times New Roman"/>
                <w:sz w:val="22"/>
                <w:szCs w:val="22"/>
              </w:rPr>
              <w:t>Choczewo (2)</w:t>
            </w:r>
          </w:p>
        </w:tc>
        <w:tc>
          <w:tcPr>
            <w:tcW w:w="6803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52" w:before="0" w:after="160"/>
              <w:rPr>
                <w:rFonts w:ascii="Calibri" w:hAnsi="Calibri" w:eastAsia="Calibri" w:cs="Times New Roman"/>
                <w:sz w:val="22"/>
                <w:szCs w:val="22"/>
              </w:rPr>
            </w:pPr>
            <w:r>
              <w:rPr>
                <w:rFonts w:eastAsia="Calibri" w:cs="Times New Roman"/>
                <w:sz w:val="22"/>
                <w:szCs w:val="22"/>
              </w:rPr>
              <w:t>30,4</w:t>
            </w:r>
          </w:p>
        </w:tc>
      </w:tr>
      <w:tr>
        <w:trPr>
          <w:trHeight w:val="288" w:hRule="atLeast"/>
        </w:trPr>
        <w:tc>
          <w:tcPr>
            <w:tcW w:w="2551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52" w:before="0" w:after="160"/>
              <w:rPr>
                <w:rFonts w:ascii="Calibri" w:hAnsi="Calibri" w:eastAsia="Calibri" w:cs="Times New Roman"/>
                <w:sz w:val="22"/>
                <w:szCs w:val="22"/>
              </w:rPr>
            </w:pPr>
            <w:r>
              <w:rPr>
                <w:rFonts w:eastAsia="Calibri" w:cs="Times New Roman"/>
                <w:sz w:val="22"/>
                <w:szCs w:val="22"/>
              </w:rPr>
              <w:t>Gniewino (2)</w:t>
            </w:r>
          </w:p>
        </w:tc>
        <w:tc>
          <w:tcPr>
            <w:tcW w:w="6803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52" w:before="0" w:after="160"/>
              <w:rPr>
                <w:rFonts w:ascii="Calibri" w:hAnsi="Calibri" w:eastAsia="Calibri" w:cs="Times New Roman"/>
                <w:sz w:val="22"/>
                <w:szCs w:val="22"/>
              </w:rPr>
            </w:pPr>
            <w:r>
              <w:rPr>
                <w:rFonts w:eastAsia="Calibri" w:cs="Times New Roman"/>
                <w:sz w:val="22"/>
                <w:szCs w:val="22"/>
              </w:rPr>
              <w:t>23,3</w:t>
            </w:r>
          </w:p>
        </w:tc>
      </w:tr>
      <w:tr>
        <w:trPr>
          <w:trHeight w:val="288" w:hRule="atLeast"/>
        </w:trPr>
        <w:tc>
          <w:tcPr>
            <w:tcW w:w="2551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52" w:before="0" w:after="160"/>
              <w:rPr>
                <w:rFonts w:ascii="Calibri" w:hAnsi="Calibri" w:eastAsia="Calibri" w:cs="Times New Roman"/>
                <w:sz w:val="22"/>
                <w:szCs w:val="22"/>
              </w:rPr>
            </w:pPr>
            <w:r>
              <w:rPr>
                <w:rFonts w:eastAsia="Calibri" w:cs="Times New Roman"/>
                <w:sz w:val="22"/>
                <w:szCs w:val="22"/>
              </w:rPr>
              <w:t>Wejherowo (2)</w:t>
            </w:r>
          </w:p>
        </w:tc>
        <w:tc>
          <w:tcPr>
            <w:tcW w:w="6803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52" w:before="0" w:after="160"/>
              <w:rPr>
                <w:rFonts w:ascii="Calibri" w:hAnsi="Calibri" w:eastAsia="Calibri" w:cs="Times New Roman"/>
                <w:sz w:val="22"/>
                <w:szCs w:val="22"/>
              </w:rPr>
            </w:pPr>
            <w:r>
              <w:rPr>
                <w:rFonts w:eastAsia="Calibri" w:cs="Times New Roman"/>
                <w:sz w:val="22"/>
                <w:szCs w:val="22"/>
              </w:rPr>
              <w:t>15,7</w:t>
            </w:r>
          </w:p>
        </w:tc>
      </w:tr>
    </w:tbl>
    <w:p>
      <w:pPr>
        <w:pStyle w:val="Normal"/>
        <w:numPr>
          <w:ilvl w:val="0"/>
          <w:numId w:val="12"/>
        </w:numPr>
        <w:spacing w:lineRule="auto" w:line="254" w:before="120" w:after="160"/>
        <w:ind w:left="714" w:hanging="357"/>
        <w:contextualSpacing/>
        <w:rPr/>
      </w:pPr>
      <w:r>
        <w:rPr>
          <w:rFonts w:eastAsia="Calibri" w:cs="Times New Roman"/>
        </w:rPr>
        <w:t>Kolejność złożenia wniosku (data, godzina)</w:t>
      </w:r>
    </w:p>
    <w:sectPr>
      <w:headerReference w:type="default" r:id="rId4"/>
      <w:footerReference w:type="default" r:id="rId5"/>
      <w:type w:val="nextPage"/>
      <w:pgSz w:orient="landscape" w:w="16838" w:h="11906"/>
      <w:pgMar w:left="1417" w:right="1417" w:header="708" w:top="1417" w:footer="708" w:bottom="141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Calibri Light">
    <w:charset w:val="ee"/>
    <w:family w:val="roman"/>
    <w:pitch w:val="variable"/>
  </w:font>
  <w:font w:name="Segoe U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Bottom of Page)"/>
        <w:docPartUnique w:val="true"/>
      </w:docPartObj>
      <w:id w:val="1679737374"/>
    </w:sdtPr>
    <w:sdtContent>
      <w:p>
        <w:pPr>
          <w:pStyle w:val="Stopka"/>
          <w:jc w:val="right"/>
          <w:rPr/>
        </w:pPr>
        <w:r>
          <w:rPr/>
          <w:fldChar w:fldCharType="begin"/>
        </w:r>
        <w:r>
          <w:rPr/>
          <w:instrText> PAGE </w:instrText>
        </w:r>
        <w:r>
          <w:rPr/>
          <w:fldChar w:fldCharType="separate"/>
        </w:r>
        <w:r>
          <w:rPr/>
          <w:t>8</w:t>
        </w:r>
        <w:r>
          <w:rPr/>
          <w:fldChar w:fldCharType="end"/>
        </w:r>
      </w:p>
    </w:sdtContent>
  </w:sdt>
  <w:p>
    <w:pPr>
      <w:pStyle w:val="Stopka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Gwka"/>
      <w:rPr/>
    </w:pPr>
    <w:r>
      <w:rPr/>
      <w:drawing>
        <wp:anchor behindDoc="1" distT="0" distB="0" distL="114300" distR="114300" simplePos="0" locked="0" layoutInCell="1" allowOverlap="1" relativeHeight="9">
          <wp:simplePos x="0" y="0"/>
          <wp:positionH relativeFrom="column">
            <wp:posOffset>-823595</wp:posOffset>
          </wp:positionH>
          <wp:positionV relativeFrom="paragraph">
            <wp:posOffset>-392430</wp:posOffset>
          </wp:positionV>
          <wp:extent cx="10554970" cy="7439025"/>
          <wp:effectExtent l="0" t="0" r="0" b="0"/>
          <wp:wrapNone/>
          <wp:docPr id="1" name="Obraz 1" descr="Grafika na górze strony zawiera cztery logotypy wraz z napisami. Od lewej: 1 symbol Funduszy Europejskich dla Pomorza, stylizowana kolorowa grafika z gwiazdkami przypominającymi flagę Unii Europejskiej; 2 flaga Polski prostokąt w postaci dwóch pasów poziomych białego na górze i czerwonego na dole oraz obok napis Rzeczpospolita Polska; 3 flaga Unii Europejskiej niebieski prostokąt z dwunastoma złotymi gwiazdkami ułożonymi w okrąg i obok napis dofinansowane przez Unię Europejską; 4 logo Planu Strategicznego dla Wspólnej Polityki Rolnej (WPR) na lata 2023-2027 uproszczony wiejski pejzaż w kole z trzema czerwonymi kłosami, otoczony siedmioma gwiazdami. &#10;Na dole strony widnieje logotyp przedstawiający graficzny znak i nazwę organizacji Stowarzyszenie Bursztynowy Pasaż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Grafika na górze strony zawiera cztery logotypy wraz z napisami. Od lewej: 1 symbol Funduszy Europejskich dla Pomorza, stylizowana kolorowa grafika z gwiazdkami przypominającymi flagę Unii Europejskiej; 2 flaga Polski prostokąt w postaci dwóch pasów poziomych białego na górze i czerwonego na dole oraz obok napis Rzeczpospolita Polska; 3 flaga Unii Europejskiej niebieski prostokąt z dwunastoma złotymi gwiazdkami ułożonymi w okrąg i obok napis dofinansowane przez Unię Europejską; 4 logo Planu Strategicznego dla Wspólnej Polityki Rolnej (WPR) na lata 2023-2027 uproszczony wiejski pejzaż w kole z trzema czerwonymi kłosami, otoczony siedmioma gwiazdami. &#10;Na dole strony widnieje logotyp przedstawiający graficzny znak i nazwę organizacji Stowarzyszenie Bursztynowy Pasaż.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554970" cy="7439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lvl w:ilvl="0">
      <w:start w:val="1"/>
      <w:numFmt w:val="bullet"/>
      <w:lvlText w:val=""/>
      <w:lvlJc w:val="left"/>
      <w:pPr>
        <w:ind w:left="1428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86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58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502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4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7188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lvl w:ilvl="0">
      <w:start w:val="1"/>
      <w:numFmt w:val="lowerLetter"/>
      <w:lvlText w:val="%1)"/>
      <w:lvlJc w:val="left"/>
      <w:pPr>
        <w:ind w:left="1068" w:hanging="708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 w:val="24"/>
        <w:szCs w:val="24"/>
        <w:lang w:val="pl-PL" w:eastAsia="en-US" w:bidi="ar-SA"/>
        <w14:ligatures w14:val="standardContextual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2"/>
      <w:sz w:val="24"/>
      <w:szCs w:val="24"/>
      <w:lang w:val="pl-PL" w:eastAsia="en-US" w:bidi="ar-SA"/>
      <w14:ligatures w14:val="standardContextual"/>
    </w:rPr>
  </w:style>
  <w:style w:type="paragraph" w:styleId="Nagwek1">
    <w:name w:val="Heading 1"/>
    <w:basedOn w:val="Normal"/>
    <w:next w:val="Normal"/>
    <w:link w:val="Nagwek1Znak"/>
    <w:uiPriority w:val="9"/>
    <w:qFormat/>
    <w:rsid w:val="00955fa4"/>
    <w:pPr>
      <w:keepNext w:val="true"/>
      <w:keepLines/>
      <w:spacing w:before="360" w:after="80"/>
      <w:outlineLvl w:val="0"/>
    </w:pPr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40"/>
      <w:szCs w:val="40"/>
    </w:rPr>
  </w:style>
  <w:style w:type="paragraph" w:styleId="Nagwek2">
    <w:name w:val="Heading 2"/>
    <w:basedOn w:val="Normal"/>
    <w:next w:val="Normal"/>
    <w:link w:val="Nagwek2Znak"/>
    <w:uiPriority w:val="9"/>
    <w:semiHidden/>
    <w:unhideWhenUsed/>
    <w:qFormat/>
    <w:rsid w:val="00955fa4"/>
    <w:pPr>
      <w:keepNext w:val="true"/>
      <w:keepLines/>
      <w:spacing w:before="160" w:after="80"/>
      <w:outlineLvl w:val="1"/>
    </w:pPr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paragraph" w:styleId="Nagwek3">
    <w:name w:val="Heading 3"/>
    <w:basedOn w:val="Normal"/>
    <w:next w:val="Normal"/>
    <w:link w:val="Nagwek3Znak"/>
    <w:uiPriority w:val="9"/>
    <w:semiHidden/>
    <w:unhideWhenUsed/>
    <w:qFormat/>
    <w:rsid w:val="00955fa4"/>
    <w:pPr>
      <w:keepNext w:val="true"/>
      <w:keepLines/>
      <w:spacing w:before="160" w:after="80"/>
      <w:outlineLvl w:val="2"/>
    </w:pPr>
    <w:rPr>
      <w:rFonts w:eastAsia="" w:cs="" w:cstheme="majorBidi" w:eastAsiaTheme="majorEastAsia"/>
      <w:color w:val="2F5496" w:themeColor="accent1" w:themeShade="bf"/>
      <w:sz w:val="28"/>
      <w:szCs w:val="28"/>
    </w:rPr>
  </w:style>
  <w:style w:type="paragraph" w:styleId="Nagwek4">
    <w:name w:val="Heading 4"/>
    <w:basedOn w:val="Normal"/>
    <w:next w:val="Normal"/>
    <w:link w:val="Nagwek4Znak"/>
    <w:uiPriority w:val="9"/>
    <w:semiHidden/>
    <w:unhideWhenUsed/>
    <w:qFormat/>
    <w:rsid w:val="00955fa4"/>
    <w:pPr>
      <w:keepNext w:val="true"/>
      <w:keepLines/>
      <w:spacing w:before="80" w:after="40"/>
      <w:outlineLvl w:val="3"/>
    </w:pPr>
    <w:rPr>
      <w:rFonts w:eastAsia="" w:cs="" w:cstheme="majorBidi" w:eastAsiaTheme="majorEastAsia"/>
      <w:i/>
      <w:iCs/>
      <w:color w:val="2F5496" w:themeColor="accent1" w:themeShade="bf"/>
    </w:rPr>
  </w:style>
  <w:style w:type="paragraph" w:styleId="Nagwek5">
    <w:name w:val="Heading 5"/>
    <w:basedOn w:val="Normal"/>
    <w:next w:val="Normal"/>
    <w:link w:val="Nagwek5Znak"/>
    <w:uiPriority w:val="9"/>
    <w:semiHidden/>
    <w:unhideWhenUsed/>
    <w:qFormat/>
    <w:rsid w:val="00955fa4"/>
    <w:pPr>
      <w:keepNext w:val="true"/>
      <w:keepLines/>
      <w:spacing w:before="80" w:after="40"/>
      <w:outlineLvl w:val="4"/>
    </w:pPr>
    <w:rPr>
      <w:rFonts w:eastAsia="" w:cs="" w:cstheme="majorBidi" w:eastAsiaTheme="majorEastAsia"/>
      <w:color w:val="2F5496" w:themeColor="accent1" w:themeShade="bf"/>
    </w:rPr>
  </w:style>
  <w:style w:type="paragraph" w:styleId="Nagwek6">
    <w:name w:val="Heading 6"/>
    <w:basedOn w:val="Normal"/>
    <w:next w:val="Normal"/>
    <w:link w:val="Nagwek6Znak"/>
    <w:uiPriority w:val="9"/>
    <w:semiHidden/>
    <w:unhideWhenUsed/>
    <w:qFormat/>
    <w:rsid w:val="00955fa4"/>
    <w:pPr>
      <w:keepNext w:val="true"/>
      <w:keepLines/>
      <w:spacing w:before="40" w:after="0"/>
      <w:outlineLvl w:val="5"/>
    </w:pPr>
    <w:rPr>
      <w:rFonts w:eastAsia="" w:cs="" w:cstheme="majorBidi" w:eastAsiaTheme="majorEastAsia"/>
      <w:i/>
      <w:iCs/>
      <w:color w:val="595959" w:themeColor="text1" w:themeTint="a6"/>
    </w:rPr>
  </w:style>
  <w:style w:type="paragraph" w:styleId="Nagwek7">
    <w:name w:val="Heading 7"/>
    <w:basedOn w:val="Normal"/>
    <w:next w:val="Normal"/>
    <w:link w:val="Nagwek7Znak"/>
    <w:uiPriority w:val="9"/>
    <w:semiHidden/>
    <w:unhideWhenUsed/>
    <w:qFormat/>
    <w:rsid w:val="00955fa4"/>
    <w:pPr>
      <w:keepNext w:val="true"/>
      <w:keepLines/>
      <w:spacing w:before="40" w:after="0"/>
      <w:outlineLvl w:val="6"/>
    </w:pPr>
    <w:rPr>
      <w:rFonts w:eastAsia="" w:cs="" w:cstheme="majorBidi" w:eastAsiaTheme="majorEastAsia"/>
      <w:color w:val="595959" w:themeColor="text1" w:themeTint="a6"/>
    </w:rPr>
  </w:style>
  <w:style w:type="paragraph" w:styleId="Nagwek8">
    <w:name w:val="Heading 8"/>
    <w:basedOn w:val="Normal"/>
    <w:next w:val="Normal"/>
    <w:link w:val="Nagwek8Znak"/>
    <w:uiPriority w:val="9"/>
    <w:semiHidden/>
    <w:unhideWhenUsed/>
    <w:qFormat/>
    <w:rsid w:val="00955fa4"/>
    <w:pPr>
      <w:keepNext w:val="true"/>
      <w:keepLines/>
      <w:spacing w:before="0" w:after="0"/>
      <w:outlineLvl w:val="7"/>
    </w:pPr>
    <w:rPr>
      <w:rFonts w:eastAsia="" w:cs="" w:cstheme="majorBidi" w:eastAsiaTheme="majorEastAsia"/>
      <w:i/>
      <w:iCs/>
      <w:color w:val="272727" w:themeColor="text1" w:themeTint="d8"/>
    </w:rPr>
  </w:style>
  <w:style w:type="paragraph" w:styleId="Nagwek9">
    <w:name w:val="Heading 9"/>
    <w:basedOn w:val="Normal"/>
    <w:next w:val="Normal"/>
    <w:link w:val="Nagwek9Znak"/>
    <w:uiPriority w:val="9"/>
    <w:semiHidden/>
    <w:unhideWhenUsed/>
    <w:qFormat/>
    <w:rsid w:val="00955fa4"/>
    <w:pPr>
      <w:keepNext w:val="true"/>
      <w:keepLines/>
      <w:spacing w:before="0" w:after="0"/>
      <w:outlineLvl w:val="8"/>
    </w:pPr>
    <w:rPr>
      <w:rFonts w:eastAsia="" w:cs="" w:cstheme="majorBidi" w:eastAsiaTheme="majorEastAsia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1Znak" w:customStyle="1">
    <w:name w:val="Nagłówek 1 Znak"/>
    <w:basedOn w:val="DefaultParagraphFont"/>
    <w:link w:val="Nagwek1"/>
    <w:uiPriority w:val="9"/>
    <w:qFormat/>
    <w:rsid w:val="00955fa4"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40"/>
      <w:szCs w:val="40"/>
    </w:rPr>
  </w:style>
  <w:style w:type="character" w:styleId="Nagwek2Znak" w:customStyle="1">
    <w:name w:val="Nagłówek 2 Znak"/>
    <w:basedOn w:val="DefaultParagraphFont"/>
    <w:link w:val="Nagwek2"/>
    <w:uiPriority w:val="9"/>
    <w:semiHidden/>
    <w:qFormat/>
    <w:rsid w:val="00955fa4"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Nagwek3Znak" w:customStyle="1">
    <w:name w:val="Nagłówek 3 Znak"/>
    <w:basedOn w:val="DefaultParagraphFont"/>
    <w:link w:val="Nagwek3"/>
    <w:uiPriority w:val="9"/>
    <w:semiHidden/>
    <w:qFormat/>
    <w:rsid w:val="00955fa4"/>
    <w:rPr>
      <w:rFonts w:eastAsia="" w:cs="" w:cstheme="majorBidi" w:eastAsiaTheme="majorEastAsia"/>
      <w:color w:val="2F5496" w:themeColor="accent1" w:themeShade="bf"/>
      <w:sz w:val="28"/>
      <w:szCs w:val="28"/>
    </w:rPr>
  </w:style>
  <w:style w:type="character" w:styleId="Nagwek4Znak" w:customStyle="1">
    <w:name w:val="Nagłówek 4 Znak"/>
    <w:basedOn w:val="DefaultParagraphFont"/>
    <w:link w:val="Nagwek4"/>
    <w:uiPriority w:val="9"/>
    <w:semiHidden/>
    <w:qFormat/>
    <w:rsid w:val="00955fa4"/>
    <w:rPr>
      <w:rFonts w:eastAsia="" w:cs="" w:cstheme="majorBidi" w:eastAsiaTheme="majorEastAsia"/>
      <w:i/>
      <w:iCs/>
      <w:color w:val="2F5496" w:themeColor="accent1" w:themeShade="bf"/>
    </w:rPr>
  </w:style>
  <w:style w:type="character" w:styleId="Nagwek5Znak" w:customStyle="1">
    <w:name w:val="Nagłówek 5 Znak"/>
    <w:basedOn w:val="DefaultParagraphFont"/>
    <w:link w:val="Nagwek5"/>
    <w:uiPriority w:val="9"/>
    <w:semiHidden/>
    <w:qFormat/>
    <w:rsid w:val="00955fa4"/>
    <w:rPr>
      <w:rFonts w:eastAsia="" w:cs="" w:cstheme="majorBidi" w:eastAsiaTheme="majorEastAsia"/>
      <w:color w:val="2F5496" w:themeColor="accent1" w:themeShade="bf"/>
    </w:rPr>
  </w:style>
  <w:style w:type="character" w:styleId="Nagwek6Znak" w:customStyle="1">
    <w:name w:val="Nagłówek 6 Znak"/>
    <w:basedOn w:val="DefaultParagraphFont"/>
    <w:link w:val="Nagwek6"/>
    <w:uiPriority w:val="9"/>
    <w:semiHidden/>
    <w:qFormat/>
    <w:rsid w:val="00955fa4"/>
    <w:rPr>
      <w:rFonts w:eastAsia="" w:cs="" w:cstheme="majorBidi" w:eastAsiaTheme="majorEastAsia"/>
      <w:i/>
      <w:iCs/>
      <w:color w:val="595959" w:themeColor="text1" w:themeTint="a6"/>
    </w:rPr>
  </w:style>
  <w:style w:type="character" w:styleId="Nagwek7Znak" w:customStyle="1">
    <w:name w:val="Nagłówek 7 Znak"/>
    <w:basedOn w:val="DefaultParagraphFont"/>
    <w:link w:val="Nagwek7"/>
    <w:uiPriority w:val="9"/>
    <w:semiHidden/>
    <w:qFormat/>
    <w:rsid w:val="00955fa4"/>
    <w:rPr>
      <w:rFonts w:eastAsia="" w:cs="" w:cstheme="majorBidi" w:eastAsiaTheme="majorEastAsia"/>
      <w:color w:val="595959" w:themeColor="text1" w:themeTint="a6"/>
    </w:rPr>
  </w:style>
  <w:style w:type="character" w:styleId="Nagwek8Znak" w:customStyle="1">
    <w:name w:val="Nagłówek 8 Znak"/>
    <w:basedOn w:val="DefaultParagraphFont"/>
    <w:link w:val="Nagwek8"/>
    <w:uiPriority w:val="9"/>
    <w:semiHidden/>
    <w:qFormat/>
    <w:rsid w:val="00955fa4"/>
    <w:rPr>
      <w:rFonts w:eastAsia="" w:cs="" w:cstheme="majorBidi" w:eastAsiaTheme="majorEastAsia"/>
      <w:i/>
      <w:iCs/>
      <w:color w:val="272727" w:themeColor="text1" w:themeTint="d8"/>
    </w:rPr>
  </w:style>
  <w:style w:type="character" w:styleId="Nagwek9Znak" w:customStyle="1">
    <w:name w:val="Nagłówek 9 Znak"/>
    <w:basedOn w:val="DefaultParagraphFont"/>
    <w:link w:val="Nagwek9"/>
    <w:uiPriority w:val="9"/>
    <w:semiHidden/>
    <w:qFormat/>
    <w:rsid w:val="00955fa4"/>
    <w:rPr>
      <w:rFonts w:eastAsia="" w:cs="" w:cstheme="majorBidi" w:eastAsiaTheme="majorEastAsia"/>
      <w:color w:val="272727" w:themeColor="text1" w:themeTint="d8"/>
    </w:rPr>
  </w:style>
  <w:style w:type="character" w:styleId="TytuZnak" w:customStyle="1">
    <w:name w:val="Tytuł Znak"/>
    <w:basedOn w:val="DefaultParagraphFont"/>
    <w:link w:val="Tytu"/>
    <w:uiPriority w:val="10"/>
    <w:qFormat/>
    <w:rsid w:val="00955fa4"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PodtytuZnak" w:customStyle="1">
    <w:name w:val="Podtytuł Znak"/>
    <w:basedOn w:val="DefaultParagraphFont"/>
    <w:link w:val="Podtytu"/>
    <w:uiPriority w:val="11"/>
    <w:qFormat/>
    <w:rsid w:val="00955fa4"/>
    <w:rPr>
      <w:rFonts w:eastAsia="" w:cs="" w:cstheme="majorBidi" w:eastAsiaTheme="majorEastAsia"/>
      <w:color w:val="595959" w:themeColor="text1" w:themeTint="a6"/>
      <w:spacing w:val="15"/>
      <w:sz w:val="28"/>
      <w:szCs w:val="28"/>
    </w:rPr>
  </w:style>
  <w:style w:type="character" w:styleId="CytatZnak" w:customStyle="1">
    <w:name w:val="Cytat Znak"/>
    <w:basedOn w:val="DefaultParagraphFont"/>
    <w:link w:val="Cytat"/>
    <w:uiPriority w:val="29"/>
    <w:qFormat/>
    <w:rsid w:val="00955fa4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955fa4"/>
    <w:rPr>
      <w:i/>
      <w:iCs/>
      <w:color w:val="2F5496" w:themeColor="accent1" w:themeShade="bf"/>
    </w:rPr>
  </w:style>
  <w:style w:type="character" w:styleId="CytatintensywnyZnak" w:customStyle="1">
    <w:name w:val="Cytat intensywny Znak"/>
    <w:basedOn w:val="DefaultParagraphFont"/>
    <w:link w:val="Cytatintensywny"/>
    <w:uiPriority w:val="30"/>
    <w:qFormat/>
    <w:rsid w:val="00955fa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55fa4"/>
    <w:rPr>
      <w:b/>
      <w:bCs/>
      <w:smallCaps/>
      <w:color w:val="2F5496" w:themeColor="accent1" w:themeShade="bf"/>
      <w:spacing w:val="5"/>
    </w:rPr>
  </w:style>
  <w:style w:type="character" w:styleId="NagwekZnak" w:customStyle="1">
    <w:name w:val="Nagłówek Znak"/>
    <w:basedOn w:val="DefaultParagraphFont"/>
    <w:link w:val="Nagwek"/>
    <w:uiPriority w:val="99"/>
    <w:qFormat/>
    <w:rsid w:val="00955fa4"/>
    <w:rPr/>
  </w:style>
  <w:style w:type="character" w:styleId="StopkaZnak" w:customStyle="1">
    <w:name w:val="Stopka Znak"/>
    <w:basedOn w:val="DefaultParagraphFont"/>
    <w:link w:val="Stopka"/>
    <w:uiPriority w:val="99"/>
    <w:qFormat/>
    <w:rsid w:val="00955fa4"/>
    <w:rPr/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df586b"/>
    <w:rPr>
      <w:sz w:val="16"/>
      <w:szCs w:val="16"/>
    </w:rPr>
  </w:style>
  <w:style w:type="character" w:styleId="TekstkomentarzaZnak" w:customStyle="1">
    <w:name w:val="Tekst komentarza Znak"/>
    <w:basedOn w:val="DefaultParagraphFont"/>
    <w:link w:val="Tekstkomentarza"/>
    <w:uiPriority w:val="99"/>
    <w:semiHidden/>
    <w:qFormat/>
    <w:rsid w:val="00df586b"/>
    <w:rPr>
      <w:sz w:val="20"/>
      <w:szCs w:val="20"/>
    </w:rPr>
  </w:style>
  <w:style w:type="character" w:styleId="TematkomentarzaZnak" w:customStyle="1">
    <w:name w:val="Temat komentarza Znak"/>
    <w:basedOn w:val="TekstkomentarzaZnak"/>
    <w:link w:val="Tematkomentarza"/>
    <w:uiPriority w:val="99"/>
    <w:semiHidden/>
    <w:qFormat/>
    <w:rsid w:val="00df586b"/>
    <w:rPr>
      <w:b/>
      <w:bCs/>
      <w:sz w:val="20"/>
      <w:szCs w:val="20"/>
    </w:rPr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df586b"/>
    <w:rPr>
      <w:rFonts w:ascii="Segoe UI" w:hAnsi="Segoe UI" w:cs="Segoe UI"/>
      <w:sz w:val="18"/>
      <w:szCs w:val="18"/>
    </w:rPr>
  </w:style>
  <w:style w:type="character" w:styleId="Czeinternetowe">
    <w:name w:val="Łącze internetowe"/>
    <w:basedOn w:val="DefaultParagraphFont"/>
    <w:uiPriority w:val="99"/>
    <w:unhideWhenUsed/>
    <w:rsid w:val="00fc4f0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fc4f05"/>
    <w:rPr>
      <w:color w:val="605E5C"/>
      <w:shd w:fill="E1DFDD" w:val="clear"/>
    </w:rPr>
  </w:style>
  <w:style w:type="character" w:styleId="ListLabel1">
    <w:name w:val="ListLabel 1"/>
    <w:qFormat/>
    <w:rPr>
      <w:rFonts w:cs="Times New Roman"/>
    </w:rPr>
  </w:style>
  <w:style w:type="character" w:styleId="ListLabel2">
    <w:name w:val="ListLabel 2"/>
    <w:qFormat/>
    <w:rPr>
      <w:rFonts w:cs="Times New Roman"/>
    </w:rPr>
  </w:style>
  <w:style w:type="character" w:styleId="ListLabel3">
    <w:name w:val="ListLabel 3"/>
    <w:qFormat/>
    <w:rPr>
      <w:rFonts w:cs="Times New Roman"/>
    </w:rPr>
  </w:style>
  <w:style w:type="character" w:styleId="ListLabel4">
    <w:name w:val="ListLabel 4"/>
    <w:qFormat/>
    <w:rPr>
      <w:rFonts w:cs="Courier New"/>
    </w:rPr>
  </w:style>
  <w:style w:type="character" w:styleId="ListLabel5">
    <w:name w:val="ListLabel 5"/>
    <w:qFormat/>
    <w:rPr>
      <w:rFonts w:cs="Courier New"/>
    </w:rPr>
  </w:style>
  <w:style w:type="character" w:styleId="ListLabel6">
    <w:name w:val="ListLabel 6"/>
    <w:qFormat/>
    <w:rPr>
      <w:rFonts w:cs="Courier New"/>
    </w:rPr>
  </w:style>
  <w:style w:type="character" w:styleId="ListLabel7">
    <w:name w:val="ListLabel 7"/>
    <w:qFormat/>
    <w:rPr>
      <w:rFonts w:cs="Calibri"/>
      <w:color w:val="0563C1"/>
      <w:u w:val="single"/>
    </w:rPr>
  </w:style>
  <w:style w:type="character" w:styleId="ListLabel8">
    <w:name w:val="ListLabel 8"/>
    <w:qFormat/>
    <w:rPr>
      <w:rFonts w:cs="Calibri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Tytu">
    <w:name w:val="Title"/>
    <w:basedOn w:val="Normal"/>
    <w:next w:val="Normal"/>
    <w:link w:val="TytuZnak"/>
    <w:uiPriority w:val="10"/>
    <w:qFormat/>
    <w:rsid w:val="00955fa4"/>
    <w:pPr>
      <w:spacing w:lineRule="auto" w:line="240" w:before="0" w:after="80"/>
      <w:contextualSpacing/>
    </w:pPr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Podtytu">
    <w:name w:val="Subtitle"/>
    <w:basedOn w:val="Normal"/>
    <w:next w:val="Normal"/>
    <w:link w:val="PodtytuZnak"/>
    <w:uiPriority w:val="11"/>
    <w:qFormat/>
    <w:rsid w:val="00955fa4"/>
    <w:pPr/>
    <w:rPr>
      <w:rFonts w:eastAsia="" w:cs="" w:cstheme="majorBidi" w:eastAsiaTheme="majorEastAsia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ytatZnak"/>
    <w:uiPriority w:val="29"/>
    <w:qFormat/>
    <w:rsid w:val="00955fa4"/>
    <w:pPr>
      <w:spacing w:before="160" w:after="160"/>
      <w:jc w:val="center"/>
    </w:pPr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55fa4"/>
    <w:pPr>
      <w:spacing w:before="0" w:after="160"/>
      <w:ind w:left="720" w:hanging="0"/>
      <w:contextualSpacing/>
    </w:pPr>
    <w:rPr/>
  </w:style>
  <w:style w:type="paragraph" w:styleId="IntenseQuote">
    <w:name w:val="Intense Quote"/>
    <w:basedOn w:val="Normal"/>
    <w:next w:val="Normal"/>
    <w:link w:val="CytatintensywnyZnak"/>
    <w:uiPriority w:val="30"/>
    <w:qFormat/>
    <w:rsid w:val="00955fa4"/>
    <w:pPr>
      <w:pBdr>
        <w:top w:val="single" w:sz="4" w:space="10" w:color="2F5496"/>
        <w:bottom w:val="single" w:sz="4" w:space="10" w:color="2F5496"/>
      </w:pBdr>
      <w:spacing w:before="360" w:after="360"/>
      <w:ind w:left="864" w:right="864" w:hanging="0"/>
      <w:jc w:val="center"/>
    </w:pPr>
    <w:rPr>
      <w:i/>
      <w:iCs/>
      <w:color w:val="2F5496" w:themeColor="accent1" w:themeShade="bf"/>
    </w:rPr>
  </w:style>
  <w:style w:type="paragraph" w:styleId="Gwka">
    <w:name w:val="Header"/>
    <w:basedOn w:val="Normal"/>
    <w:link w:val="NagwekZnak"/>
    <w:uiPriority w:val="99"/>
    <w:unhideWhenUsed/>
    <w:rsid w:val="00955fa4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Stopka">
    <w:name w:val="Footer"/>
    <w:basedOn w:val="Normal"/>
    <w:link w:val="StopkaZnak"/>
    <w:uiPriority w:val="99"/>
    <w:unhideWhenUsed/>
    <w:rsid w:val="00955fa4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Annotationtext">
    <w:name w:val="annotation text"/>
    <w:basedOn w:val="Normal"/>
    <w:link w:val="TekstkomentarzaZnak"/>
    <w:uiPriority w:val="99"/>
    <w:semiHidden/>
    <w:unhideWhenUsed/>
    <w:qFormat/>
    <w:rsid w:val="00df586b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TematkomentarzaZnak"/>
    <w:uiPriority w:val="99"/>
    <w:semiHidden/>
    <w:unhideWhenUsed/>
    <w:qFormat/>
    <w:rsid w:val="00df586b"/>
    <w:pPr/>
    <w:rPr>
      <w:b/>
      <w:bCs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df586b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Revision">
    <w:name w:val="Revision"/>
    <w:uiPriority w:val="99"/>
    <w:semiHidden/>
    <w:qFormat/>
    <w:rsid w:val="00f73366"/>
    <w:pPr>
      <w:widowControl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2"/>
      <w:sz w:val="24"/>
      <w:szCs w:val="24"/>
      <w:lang w:val="pl-PL" w:eastAsia="en-US" w:bidi="ar-SA"/>
      <w14:ligatures w14:val="standardContextu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39"/>
    <w:rsid w:val="000375fc"/>
    <w:pPr>
      <w:spacing w:after="0" w:line="240" w:lineRule="auto"/>
    </w:pPr>
    <w:rPr>
      <w:sz w:val="22"/>
      <w:szCs w:val="22"/>
    </w:rPr>
    <w:tblPr>
      <w:tblInd w:w="0" w:type="nil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bursztynowypasaz.pl/" TargetMode="External"/><Relationship Id="rId3" Type="http://schemas.openxmlformats.org/officeDocument/2006/relationships/hyperlink" Target="https://www.facebook.com/bursztynowypasaz" TargetMode="Externa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ustomXml" Target="../customXml/item1.xml"/><Relationship Id="rId11" Type="http://schemas.openxmlformats.org/officeDocument/2006/relationships/customXml" Target="../customXml/item2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item1.xml><?xml version="1.0" encoding="utf-8"?>
<ArrayOfDocumentLink xmlns:xsd="http://www.w3.org/2001/XMLSchema" xmlns:xsi="http://www.w3.org/2001/XMLSchema-instance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4D005C-2C3B-4D06-BCC3-039E56C85748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CC5FC3C8-8365-415E-A478-8B14A57DCE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Application>LibreOffice/6.1.4.2$Windows_x86 LibreOffice_project/9d0f32d1f0b509096fd65e0d4bec26ddd1938fd3</Application>
  <Pages>8</Pages>
  <Words>1887</Words>
  <Characters>12465</Characters>
  <CharactersWithSpaces>14219</CharactersWithSpaces>
  <Paragraphs>175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2025-06-26T09:50:00Z</dcterms:created>
  <dc:creator>Stowarzyszenie Bursztynowy Pasaż NIP 587 163 33 43</dc:creator>
  <dc:description/>
  <dc:language>pl-PL</dc:language>
  <cp:lastModifiedBy/>
  <dcterms:modified xsi:type="dcterms:W3CDTF">2025-08-04T22:26:09Z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