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6.xml" ContentType="application/vnd.openxmlformats-officedocument.wordprocessingml.footer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5FFCCC9">
      <w:pPr>
        <w:pStyle w:val="style0"/>
        <w:keepNext/>
        <w:keepLines/>
        <w:spacing w:after="0" w:lineRule="auto" w:line="276"/>
        <w:jc w:val="right"/>
        <w:outlineLvl w:val="1"/>
        <w:rPr>
          <w:rFonts w:ascii="Calibri" w:cs="Calibri" w:eastAsia="等线 Light" w:hAnsi="Calibri"/>
          <w:sz w:val="20"/>
          <w:szCs w:val="20"/>
        </w:rPr>
      </w:pPr>
      <w:r>
        <w:rPr>
          <w:rFonts w:ascii="Calibri" w:cs="Calibri" w:eastAsia="等线 Light" w:hAnsi="Calibri"/>
          <w:sz w:val="20"/>
          <w:szCs w:val="20"/>
        </w:rPr>
        <w:t xml:space="preserve">Załącznik nr </w:t>
      </w:r>
      <w:r>
        <w:rPr>
          <w:rFonts w:ascii="Calibri" w:cs="Calibri" w:eastAsia="等线 Light" w:hAnsi="Calibri"/>
          <w:sz w:val="20"/>
          <w:szCs w:val="20"/>
        </w:rPr>
        <w:t>10</w:t>
      </w:r>
      <w:r>
        <w:rPr>
          <w:rFonts w:ascii="Calibri" w:cs="Calibri" w:eastAsia="等线 Light" w:hAnsi="Calibri"/>
          <w:sz w:val="20"/>
          <w:szCs w:val="20"/>
        </w:rPr>
        <w:t xml:space="preserve"> do wniosku o dofinansowanie </w:t>
      </w:r>
    </w:p>
    <w:p w14:paraId="7DC0DCA2">
      <w:pPr>
        <w:pStyle w:val="style0"/>
        <w:keepNext/>
        <w:keepLines/>
        <w:spacing w:after="0" w:lineRule="auto" w:line="276"/>
        <w:jc w:val="right"/>
        <w:outlineLvl w:val="1"/>
        <w:rPr>
          <w:rFonts w:ascii="Calibri" w:cs="Calibri" w:eastAsia="等线 Light" w:hAnsi="Calibri"/>
          <w:sz w:val="20"/>
          <w:szCs w:val="20"/>
        </w:rPr>
      </w:pPr>
      <w:r>
        <w:rPr>
          <w:rFonts w:ascii="Calibri" w:cs="Calibri" w:eastAsia="等线 Light" w:hAnsi="Calibri"/>
          <w:sz w:val="20"/>
          <w:szCs w:val="20"/>
        </w:rPr>
        <w:t xml:space="preserve">Działanie </w:t>
      </w:r>
      <w:r>
        <w:rPr>
          <w:rFonts w:ascii="Calibri" w:cs="Calibri" w:eastAsia="宋体" w:hAnsi="Calibri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pl-PL" w:eastAsia="en-US"/>
        </w:rPr>
        <w:t>2.07</w:t>
      </w:r>
      <w:r>
        <w:rPr>
          <w:rFonts w:ascii="Calibri" w:cs="Calibri" w:eastAsia="宋体" w:hAnsi="Calibri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宋体" w:hAnsi="Calibri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pl-PL" w:eastAsia="en-US"/>
        </w:rPr>
        <w:t>Odnawialne</w:t>
      </w:r>
      <w:r>
        <w:rPr>
          <w:rFonts w:ascii="Calibri" w:cs="Calibri" w:eastAsia="宋体" w:hAnsi="Calibri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宋体" w:hAnsi="Calibri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pl-PL" w:eastAsia="en-US"/>
        </w:rPr>
        <w:t>źródła</w:t>
      </w:r>
      <w:r>
        <w:rPr>
          <w:rFonts w:ascii="Calibri" w:cs="Calibri" w:eastAsia="宋体" w:hAnsi="Calibri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宋体" w:hAnsi="Calibri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pl-PL" w:eastAsia="en-US"/>
        </w:rPr>
        <w:t>energii</w:t>
      </w:r>
      <w:r>
        <w:rPr>
          <w:rFonts w:ascii="Calibri" w:cs="Calibri" w:eastAsia="宋体" w:hAnsi="Calibri" w:hint="default"/>
          <w:b w:val="false"/>
          <w:bCs w:val="false"/>
          <w:i w:val="false"/>
          <w:iCs w:val="false"/>
          <w:color w:val="auto"/>
          <w:sz w:val="20"/>
          <w:szCs w:val="20"/>
          <w:highlight w:val="none"/>
          <w:vertAlign w:val="baseline"/>
          <w:em w:val="none"/>
          <w:lang w:val="pl-PL" w:eastAsia="en-US"/>
        </w:rPr>
        <w:t xml:space="preserve"> </w:t>
      </w:r>
      <w:r>
        <w:rPr>
          <w:rFonts w:ascii="Calibri" w:cs="Calibri" w:eastAsia="等线 Light" w:hAnsi="Calibri"/>
          <w:sz w:val="20"/>
          <w:szCs w:val="20"/>
          <w:lang w:val="en-US"/>
        </w:rPr>
        <w:t xml:space="preserve"> </w:t>
      </w:r>
      <w:r>
        <w:rPr>
          <w:rFonts w:ascii="Calibri" w:cs="Calibri" w:eastAsia="等线 Light" w:hAnsi="Calibri"/>
          <w:sz w:val="20"/>
          <w:szCs w:val="20"/>
        </w:rPr>
        <w:t xml:space="preserve">- RLKS </w:t>
      </w:r>
    </w:p>
    <w:p w14:paraId="38333A95">
      <w:pPr>
        <w:pStyle w:val="style0"/>
        <w:keepNext/>
        <w:keepLines/>
        <w:spacing w:after="0" w:lineRule="auto" w:line="276"/>
        <w:jc w:val="right"/>
        <w:outlineLvl w:val="1"/>
        <w:rPr>
          <w:rFonts w:ascii="Calibri" w:cs="Calibri" w:eastAsia="等线 Light" w:hAnsi="Calibri"/>
          <w:sz w:val="20"/>
          <w:szCs w:val="20"/>
        </w:rPr>
      </w:pPr>
      <w:r>
        <w:rPr>
          <w:rFonts w:ascii="Calibri" w:cs="Calibri" w:eastAsia="等线 Light" w:hAnsi="Calibri"/>
          <w:sz w:val="20"/>
          <w:szCs w:val="20"/>
        </w:rPr>
        <w:t>Fundusze Europejskie dla Pomorza 2021-2027</w:t>
      </w:r>
    </w:p>
    <w:p w14:paraId="1DC84130">
      <w:pPr>
        <w:pStyle w:val="style0"/>
        <w:keepNext/>
        <w:keepLines/>
        <w:spacing w:after="0" w:lineRule="auto" w:line="276"/>
        <w:jc w:val="right"/>
        <w:outlineLvl w:val="1"/>
        <w:rPr>
          <w:rFonts w:ascii="Calibri" w:cs="Calibri" w:eastAsia="等线 Light" w:hAnsi="Calibri"/>
          <w:sz w:val="20"/>
          <w:szCs w:val="20"/>
        </w:rPr>
      </w:pPr>
    </w:p>
    <w:p w14:paraId="2679898F">
      <w:pPr>
        <w:pStyle w:val="style0"/>
        <w:keepNext/>
        <w:keepLines/>
        <w:spacing w:after="0" w:lineRule="auto" w:line="276"/>
        <w:jc w:val="right"/>
        <w:outlineLvl w:val="1"/>
        <w:rPr>
          <w:rFonts w:ascii="Calibri" w:cs="Calibri" w:eastAsia="等线 Light" w:hAnsi="Calibri"/>
          <w:sz w:val="20"/>
          <w:szCs w:val="20"/>
        </w:rPr>
      </w:pPr>
    </w:p>
    <w:p w14:paraId="1F9EF27E">
      <w:pPr>
        <w:pStyle w:val="style0"/>
        <w:keepNext/>
        <w:keepLines/>
        <w:spacing w:after="0" w:lineRule="auto" w:line="276"/>
        <w:jc w:val="right"/>
        <w:outlineLvl w:val="1"/>
        <w:rPr>
          <w:rFonts w:ascii="Calibri" w:cs="Calibri" w:eastAsia="等线 Light" w:hAnsi="Calibri"/>
          <w:sz w:val="20"/>
          <w:szCs w:val="20"/>
        </w:rPr>
      </w:pPr>
    </w:p>
    <w:p w14:paraId="2FC98073">
      <w:pPr>
        <w:pStyle w:val="style0"/>
        <w:spacing w:after="0" w:lineRule="auto" w:line="276"/>
        <w:jc w:val="center"/>
        <w:rPr>
          <w:rFonts w:ascii="Calibri" w:cs="Calibri Light" w:eastAsia="Calibri" w:hAnsi="Calibri"/>
          <w:b/>
          <w:sz w:val="24"/>
          <w:szCs w:val="24"/>
          <w:lang w:eastAsia="pl-PL"/>
        </w:rPr>
      </w:pPr>
      <w:r>
        <w:rPr>
          <w:rFonts w:ascii="Calibri" w:cs="Calibri Light" w:eastAsia="Calibri" w:hAnsi="Calibri"/>
          <w:b/>
          <w:sz w:val="24"/>
          <w:szCs w:val="24"/>
          <w:lang w:eastAsia="pl-PL"/>
        </w:rPr>
        <w:t>OPIS ZGODNOŚCI PROJEKTU ZE STRATEGIĄ ROZWOJU LOKALNEG</w:t>
      </w:r>
      <w:r>
        <w:rPr>
          <w:rFonts w:ascii="Calibri" w:cs="Calibri Light" w:eastAsia="Calibri" w:hAnsi="Calibri"/>
          <w:b/>
          <w:sz w:val="24"/>
          <w:szCs w:val="24"/>
          <w:lang w:eastAsia="pl-PL"/>
        </w:rPr>
        <w:t>O</w:t>
      </w:r>
      <w:r>
        <w:rPr>
          <w:rFonts w:ascii="Calibri" w:cs="Calibri Light" w:eastAsia="Calibri" w:hAnsi="Calibri"/>
          <w:b/>
          <w:sz w:val="24"/>
          <w:szCs w:val="24"/>
          <w:lang w:eastAsia="pl-PL"/>
        </w:rPr>
        <w:t xml:space="preserve"> KIEROWANEGO PRZEZ SPOŁECZNOŚĆ ORAZ LOKALNYMI KRYTERIAMI WYBORU</w:t>
      </w:r>
    </w:p>
    <w:p w14:paraId="605189DA">
      <w:pPr>
        <w:pStyle w:val="style0"/>
        <w:spacing w:after="0" w:lineRule="auto" w:line="276"/>
        <w:jc w:val="center"/>
        <w:rPr>
          <w:rFonts w:ascii="Calibri" w:cs="Calibri Light" w:eastAsia="Calibri" w:hAnsi="Calibri"/>
          <w:b/>
          <w:sz w:val="24"/>
          <w:szCs w:val="24"/>
          <w:lang w:eastAsia="pl-PL"/>
        </w:rPr>
      </w:pPr>
    </w:p>
    <w:p w14:paraId="33225460">
      <w:pPr>
        <w:pStyle w:val="style0"/>
        <w:spacing w:after="0" w:lineRule="auto" w:line="276"/>
        <w:jc w:val="center"/>
        <w:rPr>
          <w:rFonts w:ascii="Calibri" w:cs="Calibri Light" w:eastAsia="Calibri" w:hAnsi="Calibri"/>
          <w:b/>
          <w:sz w:val="24"/>
          <w:szCs w:val="24"/>
          <w:lang w:eastAsia="pl-PL"/>
        </w:rPr>
      </w:pPr>
    </w:p>
    <w:tbl>
      <w:tblPr>
        <w:tblStyle w:val="style154"/>
        <w:tblW w:w="9498" w:type="dxa"/>
        <w:tblInd w:w="-431" w:type="dxa"/>
        <w:tblLook w:val="04A0" w:firstRow="1" w:lastRow="0" w:firstColumn="1" w:lastColumn="0" w:noHBand="0" w:noVBand="1"/>
      </w:tblPr>
      <w:tblGrid>
        <w:gridCol w:w="538"/>
        <w:gridCol w:w="84"/>
        <w:gridCol w:w="1790"/>
        <w:gridCol w:w="164"/>
        <w:gridCol w:w="6923"/>
      </w:tblGrid>
      <w:tr w14:paraId="281567DB">
        <w:trPr/>
        <w:tc>
          <w:tcPr>
            <w:tcW w:w="9498" w:type="dxa"/>
            <w:gridSpan w:val="5"/>
            <w:tcBorders/>
            <w:shd w:val="clear" w:color="auto" w:fill="fff2cc"/>
          </w:tcPr>
          <w:p w14:paraId="470BBB18">
            <w:pPr>
              <w:pStyle w:val="style0"/>
              <w:numPr>
                <w:ilvl w:val="0"/>
                <w:numId w:val="1"/>
              </w:numPr>
              <w:spacing w:after="0" w:lineRule="auto" w:line="276"/>
              <w:ind w:left="0" w:firstLine="0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 xml:space="preserve">Uzasadnienie zgodności operacji z Celem </w:t>
            </w:r>
            <w:r>
              <w:rPr>
                <w:rFonts w:ascii="Calibri" w:cs="Calibri Light" w:eastAsia="Calibri" w:hAnsi="Calibri"/>
                <w:b/>
                <w:lang w:eastAsia="pl-PL"/>
              </w:rPr>
              <w:t>1 Zwiększenie niezależności energetycznej mieszkańców, ochrona przyrody i różnorodności biologicznej obszaru</w:t>
            </w:r>
            <w:r>
              <w:rPr>
                <w:rFonts w:ascii="Calibri" w:cs="Calibri Light" w:eastAsia="Calibri" w:hAnsi="Calibri"/>
                <w:b/>
                <w:lang w:eastAsia="pl-PL"/>
              </w:rPr>
              <w:t>.</w:t>
            </w:r>
          </w:p>
        </w:tc>
      </w:tr>
      <w:tr w14:paraId="02302872">
        <w:tblPrEx/>
        <w:trPr/>
        <w:tc>
          <w:tcPr>
            <w:tcW w:w="9498" w:type="dxa"/>
            <w:gridSpan w:val="5"/>
            <w:tcBorders>
              <w:bottom w:val="single" w:sz="12" w:space="0" w:color="auto"/>
            </w:tcBorders>
          </w:tcPr>
          <w:p w14:paraId="583DF1C2">
            <w:pPr>
              <w:pStyle w:val="style0"/>
              <w:spacing w:after="0" w:lineRule="auto" w:line="276"/>
              <w:jc w:val="center"/>
              <w:rPr>
                <w:rFonts w:ascii="Calibri" w:cs="Calibri Light" w:eastAsia="Calibri" w:hAnsi="Calibri"/>
                <w:b/>
                <w:sz w:val="24"/>
                <w:szCs w:val="24"/>
                <w:lang w:eastAsia="pl-PL"/>
              </w:rPr>
            </w:pPr>
          </w:p>
          <w:p w14:paraId="5B7077F7">
            <w:pPr>
              <w:pStyle w:val="style0"/>
              <w:spacing w:after="0" w:lineRule="auto" w:line="276"/>
              <w:jc w:val="center"/>
              <w:rPr>
                <w:rFonts w:ascii="Calibri" w:cs="Calibri Light" w:eastAsia="Calibri" w:hAnsi="Calibri"/>
                <w:b/>
                <w:sz w:val="24"/>
                <w:szCs w:val="24"/>
                <w:lang w:eastAsia="pl-PL"/>
              </w:rPr>
            </w:pPr>
          </w:p>
          <w:p w14:paraId="04B72C6E">
            <w:pPr>
              <w:pStyle w:val="style0"/>
              <w:spacing w:after="0" w:lineRule="auto" w:line="276"/>
              <w:jc w:val="center"/>
              <w:rPr>
                <w:rFonts w:ascii="Calibri" w:cs="Calibri Light" w:eastAsia="Calibri" w:hAnsi="Calibri"/>
                <w:b/>
                <w:sz w:val="24"/>
                <w:szCs w:val="24"/>
                <w:lang w:eastAsia="pl-PL"/>
              </w:rPr>
            </w:pPr>
          </w:p>
        </w:tc>
      </w:tr>
      <w:tr w14:paraId="7B47CC2F">
        <w:tblPrEx/>
        <w:trPr/>
        <w:tc>
          <w:tcPr>
            <w:tcW w:w="9498" w:type="dxa"/>
            <w:gridSpan w:val="5"/>
            <w:tcBorders>
              <w:top w:val="single" w:sz="12" w:space="0" w:color="auto"/>
            </w:tcBorders>
            <w:shd w:val="clear" w:color="auto" w:fill="fff2cc"/>
          </w:tcPr>
          <w:p w14:paraId="0C8C3E89">
            <w:pPr>
              <w:pStyle w:val="style0"/>
              <w:numPr>
                <w:ilvl w:val="0"/>
                <w:numId w:val="1"/>
              </w:numPr>
              <w:spacing w:after="0" w:lineRule="auto" w:line="276"/>
              <w:ind w:left="0" w:firstLine="0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lokalnymi kryteriami wyboru</w:t>
            </w:r>
            <w:r>
              <w:rPr>
                <w:rFonts w:ascii="Calibri" w:cs="Calibri Light" w:eastAsia="Calibri" w:hAnsi="Calibri"/>
                <w:b/>
                <w:lang w:eastAsia="pl-PL"/>
              </w:rPr>
              <w:t xml:space="preserve"> – kryteria dostępowe</w:t>
            </w:r>
            <w:r>
              <w:rPr>
                <w:rFonts w:ascii="Calibri" w:cs="Calibri Light" w:eastAsia="Calibri" w:hAnsi="Calibri"/>
                <w:b/>
                <w:lang w:eastAsia="pl-PL"/>
              </w:rPr>
              <w:t xml:space="preserve"> (dodatkowe)</w:t>
            </w:r>
          </w:p>
        </w:tc>
      </w:tr>
      <w:tr w14:paraId="35D1BDD5">
        <w:tblPrEx/>
        <w:trPr/>
        <w:tc>
          <w:tcPr>
            <w:tcW w:w="540" w:type="dxa"/>
            <w:tcBorders/>
            <w:shd w:val="clear" w:color="auto" w:fill="fff2cc"/>
          </w:tcPr>
          <w:p w14:paraId="4B9CC02F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1876" w:type="dxa"/>
            <w:gridSpan w:val="2"/>
            <w:tcBorders/>
            <w:shd w:val="clear" w:color="auto" w:fill="fff2cc"/>
          </w:tcPr>
          <w:p w14:paraId="57859BD9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Nazwa kryterium</w:t>
            </w:r>
          </w:p>
        </w:tc>
        <w:tc>
          <w:tcPr>
            <w:tcW w:w="7082" w:type="dxa"/>
            <w:gridSpan w:val="2"/>
            <w:tcBorders/>
            <w:shd w:val="clear" w:color="auto" w:fill="fff2cc"/>
          </w:tcPr>
          <w:p w14:paraId="3BB8A654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Opis kryterium</w:t>
            </w:r>
          </w:p>
        </w:tc>
      </w:tr>
      <w:tr w14:paraId="30F52569">
        <w:tblPrEx/>
        <w:trPr/>
        <w:tc>
          <w:tcPr>
            <w:tcW w:w="540" w:type="dxa"/>
            <w:tcBorders/>
          </w:tcPr>
          <w:p w14:paraId="46A17068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76" w:type="dxa"/>
            <w:gridSpan w:val="2"/>
            <w:tcBorders/>
          </w:tcPr>
          <w:p w14:paraId="3A622EE8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Kw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alifikowalność Wnioskodawcy</w:t>
            </w:r>
          </w:p>
        </w:tc>
        <w:tc>
          <w:tcPr>
            <w:tcW w:w="7082" w:type="dxa"/>
            <w:gridSpan w:val="2"/>
            <w:tcBorders/>
          </w:tcPr>
          <w:p w14:paraId="1DCD039B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Ubiegającym się o wsparcie nie może być:</w:t>
            </w:r>
          </w:p>
          <w:p w14:paraId="5D10083B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a)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ab/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osoba fizyczna realizująca działania związane z wdrażaniem lokalnej strategii rozwoju, zatrudniona przez Stowarzyszenie „Bursztynowy Pasaż” lub pełniąca funkcję w Zarządzie Stowarzyszenia „Bursztynowy Pasaż”</w:t>
            </w:r>
          </w:p>
          <w:p w14:paraId="209BC4DB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b)  Wnioskodawca jest prosumentem zgodnie z definicją wskazaną w Ustawie z dnia 20 lutego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2015 r. o odnawialnych źródłach energii (Dz. U. z 2024 r. poz. 1361, 1847, 1881, z 2025 r. poz. 303, 759,1218.) rozumianym jako odbiorca końcowy będący odbiorcą energii elektrycznej w gospodarstwie</w:t>
            </w:r>
          </w:p>
          <w:p w14:paraId="12DBC8C6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domowym.</w:t>
            </w:r>
          </w:p>
          <w:p w14:paraId="14B204C9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</w:p>
          <w:p w14:paraId="63AE4E0D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 xml:space="preserve">Weryfikacja 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ppkt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 xml:space="preserve"> a na podstawie dokumentów LGD, 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ppkt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 xml:space="preserve"> b na podstawie umowy z operatorem sieci lub innego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dokumentu od operatora wskazującego, że wnioskodawca jest prosumentem)</w:t>
            </w:r>
          </w:p>
        </w:tc>
      </w:tr>
      <w:tr w14:paraId="62831BCE">
        <w:tblPrEx/>
        <w:trPr/>
        <w:tc>
          <w:tcPr>
            <w:tcW w:w="9498" w:type="dxa"/>
            <w:gridSpan w:val="5"/>
            <w:tcBorders/>
            <w:shd w:val="clear" w:color="auto" w:fill="fff2cc"/>
          </w:tcPr>
          <w:p w14:paraId="57513C4C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kryterium:</w:t>
            </w:r>
          </w:p>
        </w:tc>
      </w:tr>
      <w:tr w14:paraId="062B82CB">
        <w:tblPrEx/>
        <w:trPr/>
        <w:tc>
          <w:tcPr>
            <w:tcW w:w="9498" w:type="dxa"/>
            <w:gridSpan w:val="5"/>
            <w:tcBorders/>
          </w:tcPr>
          <w:p w14:paraId="582F95AD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1F54757A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</w:tc>
      </w:tr>
      <w:tr w14:paraId="2513EF4B">
        <w:tblPrEx/>
        <w:trPr/>
        <w:tc>
          <w:tcPr>
            <w:tcW w:w="540" w:type="dxa"/>
            <w:tcBorders/>
            <w:shd w:val="clear" w:color="auto" w:fill="fff2cc"/>
          </w:tcPr>
          <w:p w14:paraId="4690337C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1896" w:type="dxa"/>
            <w:gridSpan w:val="2"/>
            <w:tcBorders/>
            <w:shd w:val="clear" w:color="auto" w:fill="fff2cc"/>
          </w:tcPr>
          <w:p w14:paraId="10B021B5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Nazwa kryterium</w:t>
            </w:r>
          </w:p>
        </w:tc>
        <w:tc>
          <w:tcPr>
            <w:tcW w:w="7062" w:type="dxa"/>
            <w:gridSpan w:val="2"/>
            <w:tcBorders/>
            <w:shd w:val="clear" w:color="auto" w:fill="fff2cc"/>
          </w:tcPr>
          <w:p w14:paraId="198B2207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Opis kryterium</w:t>
            </w:r>
          </w:p>
        </w:tc>
      </w:tr>
      <w:tr w14:paraId="2A31CCBA">
        <w:tblPrEx/>
        <w:trPr/>
        <w:tc>
          <w:tcPr>
            <w:tcW w:w="540" w:type="dxa"/>
            <w:tcBorders/>
          </w:tcPr>
          <w:p w14:paraId="08CFE285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lang w:eastAsia="pl-PL"/>
              </w:rPr>
              <w:t>2</w:t>
            </w:r>
          </w:p>
        </w:tc>
        <w:tc>
          <w:tcPr>
            <w:tcW w:w="1896" w:type="dxa"/>
            <w:gridSpan w:val="2"/>
            <w:tcBorders/>
          </w:tcPr>
          <w:p w14:paraId="42B6FC64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Kwalifikowalność kosztów</w:t>
            </w:r>
          </w:p>
        </w:tc>
        <w:tc>
          <w:tcPr>
            <w:tcW w:w="7062" w:type="dxa"/>
            <w:gridSpan w:val="2"/>
            <w:tcBorders/>
          </w:tcPr>
          <w:p w14:paraId="4CEAE509">
            <w:pPr>
              <w:pStyle w:val="style0"/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Kwalifikowane będą jedynie wydatki spełniające przesłanki:</w:t>
            </w:r>
          </w:p>
          <w:p w14:paraId="6A616FF2">
            <w:pPr>
              <w:pStyle w:val="style179"/>
              <w:numPr>
                <w:ilvl w:val="0"/>
                <w:numId w:val="8"/>
              </w:numPr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moc magazynu wynosić będzie co najmniej 2 kWh, jednak nie więcej niż 1 </w:t>
            </w:r>
            <w:r>
              <w:rPr>
                <w:rFonts w:cs="Calibri"/>
                <w:sz w:val="20"/>
                <w:szCs w:val="20"/>
              </w:rPr>
              <w:t>MWe</w:t>
            </w:r>
            <w:r>
              <w:rPr>
                <w:rFonts w:cs="Calibri"/>
                <w:sz w:val="20"/>
                <w:szCs w:val="20"/>
              </w:rPr>
              <w:t>,</w:t>
            </w:r>
          </w:p>
          <w:p w14:paraId="37108369">
            <w:pPr>
              <w:pStyle w:val="style179"/>
              <w:numPr>
                <w:ilvl w:val="0"/>
                <w:numId w:val="8"/>
              </w:numPr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pojemność magazynu będzie dostosowana do mocy instalacji OZE,</w:t>
            </w:r>
          </w:p>
          <w:p w14:paraId="0F8E2D96">
            <w:pPr>
              <w:pStyle w:val="style179"/>
              <w:numPr>
                <w:ilvl w:val="0"/>
                <w:numId w:val="8"/>
              </w:numPr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ascii="Calibri" w:cs="Calibri" w:eastAsia="Calibri" w:hAnsi="Calibri"/>
                <w:sz w:val="20"/>
                <w:szCs w:val="20"/>
              </w:rPr>
              <w:t>moc magazynu nie będzie przekraczać sumarycznej mocy wszystkich jednostek wytwórczych wchodzących w skład instalacji OZE,</w:t>
            </w:r>
          </w:p>
          <w:p w14:paraId="5C77902F">
            <w:pPr>
              <w:pStyle w:val="style179"/>
              <w:numPr>
                <w:ilvl w:val="0"/>
                <w:numId w:val="8"/>
              </w:numPr>
              <w:spacing w:after="0" w:lineRule="auto" w:line="240"/>
              <w:rPr>
                <w:rFonts w:ascii="Calibri" w:cs="Calibri" w:eastAsia="Calibri" w:hAnsi="Calibri"/>
                <w:sz w:val="20"/>
                <w:szCs w:val="20"/>
              </w:rPr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Łączny koszt kwalifikowalny zakupu i montażu magazynu energii elektrycznej wraz  z niezbędnymi elementami towarzyszącymi (uwzględnionymi w pkt. 1,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>ppkt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1-8 załącznika nr 7 do Regulaminu np. transportem/wysyłką, zakupem inwertera hybrydowego, systemu EMS,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>przyłączeniem do sieci) nie przekracza 2,5 tys. zł brutto za 1 kWh pojemności magazynu</w:t>
            </w:r>
            <w:r>
              <w:rPr>
                <w:rStyle w:val="style38"/>
                <w:rFonts w:cs="Calibri"/>
                <w:sz w:val="20"/>
                <w:szCs w:val="20"/>
              </w:rPr>
              <w:footnoteReference w:id="1"/>
            </w:r>
          </w:p>
          <w:p w14:paraId="71E339DB">
            <w:pPr>
              <w:pStyle w:val="style179"/>
              <w:numPr>
                <w:ilvl w:val="0"/>
                <w:numId w:val="8"/>
              </w:numPr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nie podlegają dofinansowaniu inne urządzenia i usługi, nie wymienione w zał. nr 7 do Regulaminu, a w przypadku jeśli są niezbędne, będą stanowić koszt własny Wnioskodawcy </w:t>
            </w:r>
          </w:p>
          <w:p w14:paraId="352F7E25">
            <w:pPr>
              <w:pStyle w:val="style0"/>
              <w:spacing w:before="120"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Warunek uważa się za spełniony, jeśli projekt spełnił wszystkie powyższe przesłanki. </w:t>
            </w:r>
          </w:p>
          <w:p w14:paraId="4CFD92F7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</w:rPr>
              <w:t>Weryfikacja na podstawie zapisów wniosku i załączników</w:t>
            </w:r>
          </w:p>
        </w:tc>
      </w:tr>
      <w:tr w14:paraId="1C24598E">
        <w:tblPrEx/>
        <w:trPr/>
        <w:tc>
          <w:tcPr>
            <w:tcW w:w="9498" w:type="dxa"/>
            <w:gridSpan w:val="5"/>
            <w:tcBorders/>
            <w:shd w:val="clear" w:color="auto" w:fill="fff2cc"/>
          </w:tcPr>
          <w:p w14:paraId="5387CF30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kryterium:</w:t>
            </w:r>
          </w:p>
        </w:tc>
      </w:tr>
      <w:tr w14:paraId="5FB55D65">
        <w:tblPrEx/>
        <w:trPr/>
        <w:tc>
          <w:tcPr>
            <w:tcW w:w="9498" w:type="dxa"/>
            <w:gridSpan w:val="5"/>
            <w:tcBorders/>
          </w:tcPr>
          <w:p w14:paraId="529852C7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7493A888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</w:tc>
      </w:tr>
      <w:tr w14:paraId="42E58EFB">
        <w:tblPrEx/>
        <w:trPr/>
        <w:tc>
          <w:tcPr>
            <w:tcW w:w="624" w:type="dxa"/>
            <w:gridSpan w:val="2"/>
            <w:tcBorders/>
            <w:shd w:val="clear" w:color="auto" w:fill="fff2cc"/>
          </w:tcPr>
          <w:p w14:paraId="19F0B893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1896" w:type="dxa"/>
            <w:gridSpan w:val="2"/>
            <w:tcBorders/>
            <w:shd w:val="clear" w:color="auto" w:fill="fff2cc"/>
          </w:tcPr>
          <w:p w14:paraId="1A6D38B6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Nazwa kryterium</w:t>
            </w:r>
          </w:p>
        </w:tc>
        <w:tc>
          <w:tcPr>
            <w:tcW w:w="6978" w:type="dxa"/>
            <w:tcBorders/>
            <w:shd w:val="clear" w:color="auto" w:fill="fff2cc"/>
          </w:tcPr>
          <w:p w14:paraId="63C660D8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Opis kryterium</w:t>
            </w:r>
          </w:p>
        </w:tc>
      </w:tr>
      <w:tr w14:paraId="6F5B9786">
        <w:tblPrEx/>
        <w:trPr/>
        <w:tc>
          <w:tcPr>
            <w:tcW w:w="624" w:type="dxa"/>
            <w:gridSpan w:val="2"/>
            <w:tcBorders/>
            <w:shd w:val="clear" w:color="auto" w:fill="ffffff"/>
          </w:tcPr>
          <w:p w14:paraId="6E167A38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lang w:eastAsia="pl-PL"/>
              </w:rPr>
              <w:t>3</w:t>
            </w:r>
          </w:p>
        </w:tc>
        <w:tc>
          <w:tcPr>
            <w:tcW w:w="1896" w:type="dxa"/>
            <w:gridSpan w:val="2"/>
            <w:tcBorders/>
          </w:tcPr>
          <w:p w14:paraId="6808D812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Wykluczenie  z dofinansowania dla działalności gospodarczej</w:t>
            </w:r>
          </w:p>
        </w:tc>
        <w:tc>
          <w:tcPr>
            <w:tcW w:w="6978" w:type="dxa"/>
            <w:tcBorders/>
          </w:tcPr>
          <w:p w14:paraId="2561431D">
            <w:pPr>
              <w:pStyle w:val="style0"/>
              <w:spacing w:lineRule="auto" w:line="240"/>
              <w:jc w:val="both"/>
              <w:contextualSpacing/>
              <w:rPr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Pod adresem, pod którym będzie realizowana inwestycja nie jest zarejestrowana działalność gospodarcza</w:t>
            </w:r>
            <w:r>
              <w:rPr>
                <w:sz w:val="20"/>
                <w:szCs w:val="20"/>
              </w:rPr>
              <w:t xml:space="preserve"> w rozumieniu przepisów Unii Europejskiej dotyczących pomocy publicznej, obejmującej również działalność rolniczą oraz rybacką.</w:t>
            </w:r>
          </w:p>
          <w:p w14:paraId="30B80FFF">
            <w:pPr>
              <w:pStyle w:val="style0"/>
              <w:spacing w:after="0" w:lineRule="auto" w:line="276"/>
              <w:contextualSpacing/>
              <w:rPr>
                <w:rFonts w:cs="Calibri"/>
                <w:sz w:val="20"/>
                <w:szCs w:val="20"/>
              </w:rPr>
            </w:pPr>
          </w:p>
          <w:p w14:paraId="5E074069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</w:rPr>
              <w:t>Weryfikacja na podstawie CEIDG i innych dokumentów potwierdzających brak zarejestrowania działalności gospodarczej, np. zaświadczenie o wysokości podatku od nieruchomości.</w:t>
            </w:r>
          </w:p>
        </w:tc>
      </w:tr>
      <w:tr w14:paraId="47D8C227">
        <w:tblPrEx/>
        <w:trPr/>
        <w:tc>
          <w:tcPr>
            <w:tcW w:w="9498" w:type="dxa"/>
            <w:gridSpan w:val="5"/>
            <w:tcBorders/>
            <w:shd w:val="clear" w:color="auto" w:fill="fff2cc"/>
          </w:tcPr>
          <w:p w14:paraId="1333DE03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kryterium:</w:t>
            </w:r>
          </w:p>
        </w:tc>
      </w:tr>
      <w:tr w14:paraId="3A4DF640">
        <w:tblPrEx/>
        <w:trPr/>
        <w:tc>
          <w:tcPr>
            <w:tcW w:w="9498" w:type="dxa"/>
            <w:gridSpan w:val="5"/>
            <w:tcBorders/>
          </w:tcPr>
          <w:p w14:paraId="3977DF43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6307B8EB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</w:tc>
      </w:tr>
      <w:tr w14:paraId="7F8B0DFD">
        <w:tblPrEx/>
        <w:trPr/>
        <w:tc>
          <w:tcPr>
            <w:tcW w:w="636" w:type="dxa"/>
            <w:gridSpan w:val="2"/>
            <w:tcBorders/>
            <w:shd w:val="clear" w:color="auto" w:fill="fff2cc"/>
          </w:tcPr>
          <w:p w14:paraId="450F6895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1896" w:type="dxa"/>
            <w:gridSpan w:val="2"/>
            <w:tcBorders/>
            <w:shd w:val="clear" w:color="auto" w:fill="fff2cc"/>
          </w:tcPr>
          <w:p w14:paraId="7B2BF0F2">
            <w:pPr>
              <w:pStyle w:val="style0"/>
              <w:spacing w:after="0" w:lineRule="auto" w:line="276"/>
              <w:contextualSpacing/>
              <w:rPr>
                <w:rFonts w:cs="Calibri"/>
                <w:sz w:val="20"/>
                <w:szCs w:val="20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Nazwa kryterium</w:t>
            </w:r>
          </w:p>
        </w:tc>
        <w:tc>
          <w:tcPr>
            <w:tcW w:w="6966" w:type="dxa"/>
            <w:tcBorders/>
            <w:shd w:val="clear" w:color="auto" w:fill="fff2cc"/>
          </w:tcPr>
          <w:p w14:paraId="5FC7656E"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Opis kryterium</w:t>
            </w:r>
          </w:p>
        </w:tc>
      </w:tr>
      <w:tr w14:paraId="1BD260AA">
        <w:tblPrEx/>
        <w:trPr/>
        <w:tc>
          <w:tcPr>
            <w:tcW w:w="636" w:type="dxa"/>
            <w:gridSpan w:val="2"/>
            <w:tcBorders/>
          </w:tcPr>
          <w:p w14:paraId="64EAB944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896" w:type="dxa"/>
            <w:gridSpan w:val="2"/>
            <w:tcBorders/>
          </w:tcPr>
          <w:p w14:paraId="6A793CAA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</w:rPr>
              <w:t>Realizacja wskaźników</w:t>
            </w:r>
          </w:p>
        </w:tc>
        <w:tc>
          <w:tcPr>
            <w:tcW w:w="6966" w:type="dxa"/>
            <w:tcBorders/>
          </w:tcPr>
          <w:p w14:paraId="2C18E2F6"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Wnioskodawca w ramach operacji realizuje następujące wskaźniki:  </w:t>
            </w:r>
          </w:p>
          <w:p w14:paraId="51C7C657"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a) wskaźnik produktu:</w:t>
            </w:r>
          </w:p>
          <w:p w14:paraId="7810E2AD"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- Pojemność magazynów energii elektrycznej</w:t>
            </w:r>
          </w:p>
          <w:p w14:paraId="3AD4F657"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- Wspierane strategie rozwoju lokalnego kierowanego</w:t>
            </w:r>
          </w:p>
          <w:p w14:paraId="16FB4C3D"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b) wskaźnik rezultatu. </w:t>
            </w:r>
          </w:p>
          <w:p w14:paraId="41A87177">
            <w:pPr>
              <w:pStyle w:val="style0"/>
              <w:spacing w:after="0" w:lineRule="auto" w:line="240"/>
              <w:contextualSpacing/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</w:pP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 xml:space="preserve">             </w:t>
            </w: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 xml:space="preserve">Liczba gospodarstw domowych korzystających z magazynowanej energii </w:t>
            </w:r>
          </w:p>
          <w:p w14:paraId="7615A9A2">
            <w:pPr>
              <w:pStyle w:val="style0"/>
              <w:spacing w:after="0" w:lineRule="auto" w:line="240"/>
              <w:ind w:left="615" w:hanging="615"/>
              <w:contextualSpacing/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</w:pP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 xml:space="preserve">             </w:t>
            </w: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>energii w magazynie energii (ilość energii dostarczona do magazynu)</w:t>
            </w: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 xml:space="preserve"> </w:t>
            </w: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>elektrycznej</w:t>
            </w:r>
          </w:p>
          <w:p w14:paraId="3819B007">
            <w:pPr>
              <w:pStyle w:val="style0"/>
              <w:spacing w:after="0" w:lineRule="auto" w:line="240"/>
              <w:ind w:left="615" w:hanging="567"/>
              <w:contextualSpacing/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</w:pP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 xml:space="preserve">          - Ilość zmagazynowanej energii w magazynie energii (ilość energii dostarczona do magazynu)</w:t>
            </w: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 xml:space="preserve"> </w:t>
            </w: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>elektrycznej</w:t>
            </w:r>
          </w:p>
          <w:p w14:paraId="4C82BFE7">
            <w:pPr>
              <w:pStyle w:val="style0"/>
              <w:spacing w:after="0" w:lineRule="auto" w:line="240"/>
              <w:contextualSpacing/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</w:pPr>
          </w:p>
          <w:p w14:paraId="4B525005">
            <w:pPr>
              <w:pStyle w:val="style0"/>
              <w:spacing w:after="0" w:lineRule="auto" w:line="240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>Weryfikacja na podstawie zapisów wniosku.</w:t>
            </w:r>
          </w:p>
        </w:tc>
      </w:tr>
      <w:tr w14:paraId="66B3EC64">
        <w:tblPrEx/>
        <w:trPr/>
        <w:tc>
          <w:tcPr>
            <w:tcW w:w="9498" w:type="dxa"/>
            <w:gridSpan w:val="5"/>
            <w:tcBorders/>
            <w:shd w:val="clear" w:color="auto" w:fill="fff2cc"/>
          </w:tcPr>
          <w:p w14:paraId="6E26EF36"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kryterium:</w:t>
            </w:r>
          </w:p>
        </w:tc>
      </w:tr>
      <w:tr w14:paraId="38408B03">
        <w:tblPrEx/>
        <w:trPr/>
        <w:tc>
          <w:tcPr>
            <w:tcW w:w="9498" w:type="dxa"/>
            <w:gridSpan w:val="5"/>
            <w:tcBorders/>
          </w:tcPr>
          <w:p w14:paraId="33F0F334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77D3166B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56FBE677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</w:tc>
      </w:tr>
      <w:tr w14:paraId="133F852B">
        <w:tblPrEx/>
        <w:trPr/>
        <w:tc>
          <w:tcPr>
            <w:tcW w:w="9498" w:type="dxa"/>
            <w:gridSpan w:val="5"/>
            <w:tcBorders/>
            <w:shd w:val="clear" w:color="auto" w:fill="fff2cc"/>
          </w:tcPr>
          <w:p w14:paraId="1A4CE6D0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III.</w:t>
            </w:r>
            <w:r>
              <w:rPr>
                <w:rFonts w:ascii="Calibri" w:cs="Calibri Light" w:eastAsia="Calibri" w:hAnsi="Calibri"/>
                <w:b/>
                <w:lang w:eastAsia="pl-PL"/>
              </w:rPr>
              <w:tab/>
            </w: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lokalnymi kryteriami wyboru – kryteria rankingujące</w:t>
            </w:r>
          </w:p>
        </w:tc>
      </w:tr>
      <w:tr w14:paraId="04CAE690">
        <w:tblPrEx/>
        <w:trPr/>
        <w:tc>
          <w:tcPr>
            <w:tcW w:w="540" w:type="dxa"/>
            <w:tcBorders/>
            <w:shd w:val="clear" w:color="auto" w:fill="fff2cc"/>
          </w:tcPr>
          <w:p w14:paraId="0C7123AD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1876" w:type="dxa"/>
            <w:gridSpan w:val="2"/>
            <w:tcBorders/>
            <w:shd w:val="clear" w:color="auto" w:fill="fff2cc"/>
          </w:tcPr>
          <w:p w14:paraId="6B724ABC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Nazwa kryterium</w:t>
            </w:r>
          </w:p>
        </w:tc>
        <w:tc>
          <w:tcPr>
            <w:tcW w:w="7082" w:type="dxa"/>
            <w:gridSpan w:val="2"/>
            <w:tcBorders/>
            <w:shd w:val="clear" w:color="auto" w:fill="fff2cc"/>
          </w:tcPr>
          <w:p w14:paraId="1AA9F28E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Opis kryterium</w:t>
            </w:r>
          </w:p>
        </w:tc>
      </w:tr>
      <w:tr w14:paraId="10495EF6">
        <w:tblPrEx/>
        <w:trPr/>
        <w:tc>
          <w:tcPr>
            <w:tcW w:w="540" w:type="dxa"/>
            <w:tcBorders/>
          </w:tcPr>
          <w:p w14:paraId="76FBE5E5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876" w:type="dxa"/>
            <w:gridSpan w:val="2"/>
            <w:tcBorders/>
          </w:tcPr>
          <w:p w14:paraId="38AF7C40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Preferowani Wnioskodawcy</w:t>
            </w:r>
          </w:p>
        </w:tc>
        <w:tc>
          <w:tcPr>
            <w:tcW w:w="7082" w:type="dxa"/>
            <w:gridSpan w:val="2"/>
            <w:tcBorders/>
          </w:tcPr>
          <w:p w14:paraId="000EEE43">
            <w:pPr>
              <w:pStyle w:val="style0"/>
              <w:spacing w:after="120"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Preferowane będą projekty realizowane przez prosumentów, gdzie Wnioskodawcą jest zamieszkująca na stałe lub czasowo </w:t>
            </w:r>
            <w:r>
              <w:rPr>
                <w:rFonts w:cs="Calibri"/>
                <w:sz w:val="20"/>
                <w:szCs w:val="20"/>
                <w:u w:val="single"/>
              </w:rPr>
              <w:t xml:space="preserve">od co najmniej roku </w:t>
            </w:r>
            <w:r>
              <w:rPr>
                <w:rFonts w:cs="Calibri"/>
                <w:sz w:val="20"/>
                <w:szCs w:val="20"/>
              </w:rPr>
              <w:t xml:space="preserve">przed złożeniem wniosku: </w:t>
            </w:r>
          </w:p>
          <w:p w14:paraId="57D72637">
            <w:pPr>
              <w:pStyle w:val="style0"/>
              <w:numPr>
                <w:ilvl w:val="0"/>
                <w:numId w:val="9"/>
              </w:numPr>
              <w:spacing w:after="0" w:lineRule="auto" w:line="240"/>
              <w:ind w:left="714" w:hanging="35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Osoba z niepełnosprawnościami  lub osoba 60+ lub takie osoby również  od co najmniej roku zamieszkują wraz z Wnioskodawcą pod adresem wskazanym w formularzu grantu/ wniosku- </w:t>
            </w:r>
            <w:r>
              <w:rPr>
                <w:rFonts w:cs="Calibri"/>
                <w:b/>
                <w:bCs/>
                <w:sz w:val="20"/>
                <w:szCs w:val="20"/>
              </w:rPr>
              <w:t>2 pkt</w:t>
            </w:r>
          </w:p>
          <w:p w14:paraId="73E1F212">
            <w:pPr>
              <w:pStyle w:val="style0"/>
              <w:numPr>
                <w:ilvl w:val="0"/>
                <w:numId w:val="9"/>
              </w:numPr>
              <w:spacing w:after="0" w:lineRule="auto" w:line="240"/>
              <w:ind w:left="714" w:hanging="35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Osoba mniej zamożna- </w:t>
            </w:r>
            <w:r>
              <w:rPr>
                <w:rFonts w:cs="Calibri"/>
                <w:b/>
                <w:bCs/>
                <w:sz w:val="20"/>
                <w:szCs w:val="20"/>
              </w:rPr>
              <w:t>1 pkt,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</w:p>
          <w:p w14:paraId="3E10837E">
            <w:pPr>
              <w:pStyle w:val="style0"/>
              <w:numPr>
                <w:ilvl w:val="0"/>
                <w:numId w:val="9"/>
              </w:numPr>
              <w:spacing w:after="0" w:lineRule="auto" w:line="240"/>
              <w:ind w:left="714" w:hanging="35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rodzic samotnie wychowujący dzieci  lub rodzic w rodzinie wielodzietnej,*-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1 pkt </w:t>
            </w:r>
          </w:p>
          <w:p w14:paraId="1A91426E">
            <w:pPr>
              <w:pStyle w:val="style0"/>
              <w:numPr>
                <w:ilvl w:val="0"/>
                <w:numId w:val="9"/>
              </w:numPr>
              <w:spacing w:after="0" w:lineRule="auto" w:line="240"/>
              <w:ind w:left="714" w:hanging="35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Wnioskodawca nie spełnia warunków od „a” do „c”- </w:t>
            </w:r>
            <w:r>
              <w:rPr>
                <w:rFonts w:cs="Calibri"/>
                <w:b/>
                <w:bCs/>
                <w:sz w:val="20"/>
                <w:szCs w:val="20"/>
              </w:rPr>
              <w:t>0 pkt</w:t>
            </w:r>
          </w:p>
          <w:p w14:paraId="51AE3EA4">
            <w:pPr>
              <w:pStyle w:val="style0"/>
              <w:spacing w:before="120" w:after="120" w:lineRule="auto" w:line="240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Punkty w tym kryterium sumują się.</w:t>
            </w:r>
          </w:p>
          <w:p w14:paraId="24A5FAC3">
            <w:pPr>
              <w:pStyle w:val="style0"/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Ppkt</w:t>
            </w:r>
            <w:r>
              <w:rPr>
                <w:rFonts w:cs="Calibri"/>
                <w:sz w:val="20"/>
                <w:szCs w:val="20"/>
              </w:rPr>
              <w:t xml:space="preserve"> a będzie weryfikowany na podstawie zaświadczenia z ewidencji ludności o zameldowaniu stałym lub czasowym na obszarze objętym LSR wraz z dokumentem poświadczającym wiek lub stopień niepełnosprawności (np. aktualna legitymacja osoby niepełnosprawnej, orzeczenie o niepełnosprawności)</w:t>
            </w:r>
          </w:p>
          <w:p w14:paraId="0E91D4DF">
            <w:pPr>
              <w:pStyle w:val="style0"/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Ppkt</w:t>
            </w:r>
            <w:r>
              <w:rPr>
                <w:rFonts w:cs="Calibri"/>
                <w:sz w:val="20"/>
                <w:szCs w:val="20"/>
              </w:rPr>
              <w:t xml:space="preserve"> b będzie weryfikowany na podstawie:</w:t>
            </w:r>
          </w:p>
          <w:p w14:paraId="0BA0342D">
            <w:pPr>
              <w:pStyle w:val="style0"/>
              <w:spacing w:lineRule="auto" w:line="240"/>
              <w:ind w:firstLine="45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 zaświadczenia z ewidencji ludności o zameldowaniu wnioskodawcy pod adresem objętym projektem</w:t>
            </w:r>
          </w:p>
          <w:p w14:paraId="1BFE4890">
            <w:pPr>
              <w:pStyle w:val="style0"/>
              <w:spacing w:lineRule="auto" w:line="240"/>
              <w:ind w:firstLine="45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 zaświadczenia/ informacji o przyznaniu: bonu energetycznego, dodatku osłonowego, refundacji podatku VAT dla odbiorców paliw gazowych lub innych dodatków/ dofinansowań przyznawanie których jest uzależnione od kryterium dochodowego, dofinansowanych ze środków Skarbu Państwa  za bieżący rok lub rok poprzedzający składanie wniosku o dofinansowanie</w:t>
            </w:r>
          </w:p>
          <w:bookmarkStart w:id="0" w:name="_Hlk176340472"/>
          <w:p w14:paraId="05328838">
            <w:pPr>
              <w:pStyle w:val="style0"/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Ppkt</w:t>
            </w:r>
            <w:r>
              <w:rPr>
                <w:rFonts w:cs="Calibri"/>
                <w:sz w:val="20"/>
                <w:szCs w:val="20"/>
              </w:rPr>
              <w:t xml:space="preserve"> c będzie weryfikowany na podstawie oświadczenia Wnioskodawcy wraz z:</w:t>
            </w:r>
          </w:p>
          <w:p w14:paraId="7EA07FE4">
            <w:pPr>
              <w:pStyle w:val="style0"/>
              <w:spacing w:lineRule="auto" w:line="240"/>
              <w:ind w:firstLine="45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pierwszą stroną zeznania podatkowego</w:t>
            </w:r>
          </w:p>
          <w:p w14:paraId="6E574CD4">
            <w:pPr>
              <w:pStyle w:val="style0"/>
              <w:spacing w:lineRule="auto" w:line="240"/>
              <w:ind w:left="452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 xml:space="preserve">- </w:t>
            </w:r>
            <w:r>
              <w:rPr>
                <w:rFonts w:cs="Calibri"/>
                <w:sz w:val="20"/>
                <w:szCs w:val="20"/>
              </w:rPr>
              <w:t xml:space="preserve">kopią zaświadczenia o przyznaniu na rok bieżący lub rok poprzedzający składanie wniosku o dofinansowanie: </w:t>
            </w:r>
          </w:p>
          <w:p w14:paraId="262B5CB9">
            <w:pPr>
              <w:pStyle w:val="style179"/>
              <w:numPr>
                <w:ilvl w:val="0"/>
                <w:numId w:val="13"/>
              </w:numPr>
              <w:tabs>
                <w:tab w:val="left" w:leader="none" w:pos="741"/>
              </w:tabs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dodatku do zasiłku rodzinnego z tytułu samotnego wychowywania dziecka,</w:t>
            </w:r>
          </w:p>
          <w:p w14:paraId="6890FAD9">
            <w:pPr>
              <w:pStyle w:val="style179"/>
              <w:numPr>
                <w:ilvl w:val="0"/>
                <w:numId w:val="13"/>
              </w:numPr>
              <w:tabs>
                <w:tab w:val="left" w:leader="none" w:pos="741"/>
              </w:tabs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-świadczenia z funduszu alimentacyjnego dla samotnego rodzica, </w:t>
            </w:r>
          </w:p>
          <w:p w14:paraId="1CF44847">
            <w:pPr>
              <w:pStyle w:val="style179"/>
              <w:numPr>
                <w:ilvl w:val="0"/>
                <w:numId w:val="13"/>
              </w:numPr>
              <w:tabs>
                <w:tab w:val="left" w:leader="none" w:pos="741"/>
              </w:tabs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świadczenia „Aktywni rodzice w pracy” w wysokości 100% minimalnego wynagrodzenia*, </w:t>
            </w:r>
          </w:p>
          <w:p w14:paraId="62857F6B">
            <w:pPr>
              <w:pStyle w:val="style0"/>
              <w:tabs>
                <w:tab w:val="left" w:leader="none" w:pos="741"/>
              </w:tabs>
              <w:spacing w:lineRule="auto" w:line="240"/>
              <w:ind w:firstLine="45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Lub</w:t>
            </w:r>
          </w:p>
          <w:p w14:paraId="36760B7B">
            <w:pPr>
              <w:pStyle w:val="style0"/>
              <w:tabs>
                <w:tab w:val="left" w:leader="none" w:pos="741"/>
              </w:tabs>
              <w:spacing w:lineRule="auto" w:line="240"/>
              <w:ind w:firstLine="45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- kopii „Karty dużej rodziny”**. </w:t>
            </w:r>
          </w:p>
          <w:p w14:paraId="69A33ED4">
            <w:pPr>
              <w:pStyle w:val="style0"/>
              <w:tabs>
                <w:tab w:val="left" w:leader="none" w:pos="741"/>
              </w:tabs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* zgodnie z przepisami https://www.zus.pl/aktywnyrodzic/swiadczenie-aktywni-rodzice-w-pracy</w:t>
            </w:r>
          </w:p>
          <w:p w14:paraId="37DC0F72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 xml:space="preserve">**w rozumieniu ustawy o Karcie Dużej Rodziny z 5 grudnia 2014 r. </w:t>
            </w:r>
            <w:bookmarkEnd w:id="0"/>
          </w:p>
        </w:tc>
      </w:tr>
      <w:tr w14:paraId="6C617BB8">
        <w:tblPrEx/>
        <w:trPr/>
        <w:tc>
          <w:tcPr>
            <w:tcW w:w="9498" w:type="dxa"/>
            <w:gridSpan w:val="5"/>
            <w:tcBorders/>
            <w:shd w:val="clear" w:color="auto" w:fill="fff2cc"/>
          </w:tcPr>
          <w:p w14:paraId="69CCAEF9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kryterium:</w:t>
            </w:r>
          </w:p>
        </w:tc>
      </w:tr>
      <w:tr w14:paraId="2D0E2760">
        <w:tblPrEx/>
        <w:trPr/>
        <w:tc>
          <w:tcPr>
            <w:tcW w:w="9498" w:type="dxa"/>
            <w:gridSpan w:val="5"/>
            <w:tcBorders/>
          </w:tcPr>
          <w:p w14:paraId="72D425F2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4FC0A887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</w:tc>
      </w:tr>
      <w:tr w14:paraId="0CB04474">
        <w:tblPrEx/>
        <w:trPr/>
        <w:tc>
          <w:tcPr>
            <w:tcW w:w="540" w:type="dxa"/>
            <w:tcBorders>
              <w:top w:val="single" w:sz="12" w:space="0" w:color="auto"/>
            </w:tcBorders>
          </w:tcPr>
          <w:p w14:paraId="130949AC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864" w:type="dxa"/>
            <w:gridSpan w:val="2"/>
            <w:tcBorders>
              <w:top w:val="single" w:sz="12" w:space="0" w:color="auto"/>
            </w:tcBorders>
          </w:tcPr>
          <w:p w14:paraId="665BFD03">
            <w:pPr>
              <w:pStyle w:val="style0"/>
              <w:spacing w:after="0" w:lineRule="auto" w:line="240"/>
              <w:contextualSpacing/>
              <w:rPr>
                <w:rFonts w:cs="Calibri" w:eastAsia="Calibri"/>
                <w:sz w:val="20"/>
                <w:szCs w:val="20"/>
                <w:lang w:eastAsia="pl-PL"/>
              </w:rPr>
            </w:pPr>
            <w:r>
              <w:rPr>
                <w:rFonts w:cs="Calibri" w:eastAsia="Calibri"/>
                <w:sz w:val="20"/>
                <w:szCs w:val="20"/>
                <w:lang w:eastAsia="pl-PL"/>
              </w:rPr>
              <w:t>Potwierdzenie własności</w:t>
            </w:r>
          </w:p>
        </w:tc>
        <w:tc>
          <w:tcPr>
            <w:tcW w:w="7094" w:type="dxa"/>
            <w:gridSpan w:val="2"/>
            <w:tcBorders>
              <w:top w:val="single" w:sz="12" w:space="0" w:color="auto"/>
            </w:tcBorders>
          </w:tcPr>
          <w:p w14:paraId="5DDEFC26">
            <w:pPr>
              <w:pStyle w:val="style0"/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Preferuje się Wnioskodawców gotowych do realizacji operacji. Gotowość do realizacji operacji oznacza przedłożenie wraz z wnioskiem o dofinansowanie:</w:t>
            </w:r>
          </w:p>
          <w:p w14:paraId="4E7C21D5">
            <w:pPr>
              <w:pStyle w:val="style0"/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Dokumentów potwierdzających własność nieruchomości lub wskazanie we wniosku numeru elektronicznej księgi wieczystej, a w przypadku współwłasności lub posiadania zależnego:</w:t>
            </w:r>
          </w:p>
          <w:p w14:paraId="0B2AD507">
            <w:pPr>
              <w:pStyle w:val="style0"/>
              <w:spacing w:after="0" w:lineRule="auto" w:line="240"/>
              <w:ind w:left="36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-  zgodę współwłaściciela/ współwłaścicieli na realizację operacji na okres związania z celem</w:t>
            </w:r>
          </w:p>
          <w:p w14:paraId="053B2F8F">
            <w:pPr>
              <w:pStyle w:val="style0"/>
              <w:spacing w:after="0" w:lineRule="auto" w:line="240"/>
              <w:ind w:left="322" w:hanging="283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       -  umowę najmu dzierżawy/ użyczenia na okres związania z celem wraz ze zgodą na realizację operacji</w:t>
            </w:r>
          </w:p>
          <w:p w14:paraId="4A9C3566">
            <w:pPr>
              <w:pStyle w:val="style0"/>
              <w:spacing w:before="120" w:after="120"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Wnioskodawca złożył wskazane dokumenty w ramach naboru:</w:t>
            </w:r>
          </w:p>
          <w:p w14:paraId="65B96996">
            <w:pPr>
              <w:pStyle w:val="style0"/>
              <w:numPr>
                <w:ilvl w:val="0"/>
                <w:numId w:val="10"/>
              </w:numPr>
              <w:spacing w:after="0" w:lineRule="auto" w:line="240"/>
              <w:ind w:left="714" w:hanging="357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Tak –</w:t>
            </w:r>
            <w:r>
              <w:rPr>
                <w:rFonts w:cs="Calibri"/>
                <w:b/>
                <w:bCs/>
                <w:sz w:val="20"/>
                <w:szCs w:val="20"/>
              </w:rPr>
              <w:t>2 pkt</w:t>
            </w:r>
          </w:p>
          <w:p w14:paraId="6E8558E5">
            <w:pPr>
              <w:pStyle w:val="style0"/>
              <w:spacing w:after="0" w:lineRule="auto" w:line="240"/>
              <w:contextualSpacing/>
              <w:rPr>
                <w:rFonts w:cs="Calibri" w:eastAsia="Calibri"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</w:rPr>
              <w:t xml:space="preserve">       b)    Nie złożył wymienionych dokumentów i nie wskazał we wniosku numeru elektronicznej księgi wieczystej– </w:t>
            </w:r>
            <w:r>
              <w:rPr>
                <w:rFonts w:cs="Calibri"/>
                <w:b/>
                <w:bCs/>
                <w:sz w:val="20"/>
                <w:szCs w:val="20"/>
              </w:rPr>
              <w:t>0 pkt</w:t>
            </w:r>
            <w:r>
              <w:rPr>
                <w:rFonts w:cs="Calibri"/>
                <w:sz w:val="20"/>
                <w:szCs w:val="20"/>
              </w:rPr>
              <w:t>.</w:t>
            </w:r>
          </w:p>
        </w:tc>
      </w:tr>
      <w:tr w14:paraId="3FA45143">
        <w:tblPrEx/>
        <w:trPr/>
        <w:tc>
          <w:tcPr>
            <w:tcW w:w="9498" w:type="dxa"/>
            <w:gridSpan w:val="5"/>
            <w:tcBorders/>
            <w:shd w:val="clear" w:color="auto" w:fill="fff2cc"/>
          </w:tcPr>
          <w:p w14:paraId="613EC1F9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kryterium:</w:t>
            </w:r>
          </w:p>
        </w:tc>
      </w:tr>
      <w:tr w14:paraId="765FAB0D">
        <w:tblPrEx/>
        <w:trPr/>
        <w:tc>
          <w:tcPr>
            <w:tcW w:w="9498" w:type="dxa"/>
            <w:gridSpan w:val="5"/>
            <w:tcBorders/>
          </w:tcPr>
          <w:p w14:paraId="1DCE4F15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0EBCA702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</w:tc>
      </w:tr>
      <w:tr w14:paraId="57003431">
        <w:tblPrEx/>
        <w:trPr/>
        <w:tc>
          <w:tcPr>
            <w:tcW w:w="540" w:type="dxa"/>
            <w:tcBorders>
              <w:top w:val="single" w:sz="12" w:space="0" w:color="auto"/>
            </w:tcBorders>
          </w:tcPr>
          <w:p w14:paraId="4F31FBD2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lang w:eastAsia="pl-PL"/>
              </w:rPr>
              <w:t>3.</w:t>
            </w:r>
          </w:p>
        </w:tc>
        <w:tc>
          <w:tcPr>
            <w:tcW w:w="1864" w:type="dxa"/>
            <w:gridSpan w:val="2"/>
            <w:tcBorders>
              <w:top w:val="single" w:sz="12" w:space="0" w:color="auto"/>
            </w:tcBorders>
          </w:tcPr>
          <w:p w14:paraId="4B9688EC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Wydajność magazynu energii</w:t>
            </w:r>
          </w:p>
        </w:tc>
        <w:tc>
          <w:tcPr>
            <w:tcW w:w="7094" w:type="dxa"/>
            <w:gridSpan w:val="2"/>
            <w:tcBorders>
              <w:top w:val="single" w:sz="12" w:space="0" w:color="auto"/>
            </w:tcBorders>
          </w:tcPr>
          <w:p w14:paraId="43AB3B82">
            <w:pPr>
              <w:pStyle w:val="style0"/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Ocenie podlega relacja pojemności magazynu energii (wyrażona w kWh) w stosunku do mocy instalacji OZE (wyrażonej w kW) w następującej gradacji i konfiguracjach:</w:t>
            </w:r>
          </w:p>
          <w:p w14:paraId="1B16C830">
            <w:pPr>
              <w:pStyle w:val="style0"/>
              <w:spacing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 przypadku posiadania instalacji fotowoltaicznej lub turbiny wiatrowej lub instalacji hybrydowej:</w:t>
            </w:r>
          </w:p>
          <w:p w14:paraId="540AAABC">
            <w:pPr>
              <w:pStyle w:val="style0"/>
              <w:spacing w:lineRule="auto" w:line="240"/>
              <w:ind w:left="457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a) Relacja pojemności magazynu energii w stosunku do mocy instalacji fotowoltaicznej/mocy turbiny wiatrowej/mocy instalacji hybrydowej wynosi od 1,5 do 2,0- </w:t>
            </w:r>
            <w:r>
              <w:rPr>
                <w:rFonts w:cs="Calibri"/>
                <w:b/>
                <w:bCs/>
                <w:sz w:val="20"/>
                <w:szCs w:val="20"/>
              </w:rPr>
              <w:t>2 pkt</w:t>
            </w:r>
          </w:p>
          <w:p w14:paraId="3844CB35">
            <w:pPr>
              <w:pStyle w:val="style0"/>
              <w:spacing w:lineRule="auto" w:line="240"/>
              <w:ind w:left="457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 xml:space="preserve">b) Relacja pojemności magazynu energii w stosunku do mocy instalacji fotowoltaicznej/mocy turbiny wiatrowej/mocy instalacji hybrydowej wynosi od 1,0 do mniej niż 1,5 lub powyżej 2,0 do 2,5- </w:t>
            </w:r>
            <w:r>
              <w:rPr>
                <w:rFonts w:cs="Calibri"/>
                <w:b/>
                <w:bCs/>
                <w:sz w:val="20"/>
                <w:szCs w:val="20"/>
              </w:rPr>
              <w:t>1 pkt</w:t>
            </w:r>
          </w:p>
          <w:p w14:paraId="42349316">
            <w:pPr>
              <w:pStyle w:val="style0"/>
              <w:spacing w:lineRule="auto" w:line="240"/>
              <w:ind w:left="457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c)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="Calibri"/>
                <w:sz w:val="20"/>
                <w:szCs w:val="20"/>
              </w:rPr>
              <w:t>Relacja pojemności magazynu energii w stosunku do mocy instalacji fotowoltaicznej/mocy turbiny wiatrowej/mocy instalacji hybrydowej wynosi poniżej 1,0 lub powyżej 2,5 lub na podstawie załączonych dokumentów nie można zweryfikować zależności</w:t>
            </w:r>
            <w:r>
              <w:rPr>
                <w:rFonts w:cs="Calibri"/>
                <w:b/>
                <w:bCs/>
                <w:sz w:val="20"/>
                <w:szCs w:val="20"/>
              </w:rPr>
              <w:t>- 0 pkt</w:t>
            </w:r>
          </w:p>
          <w:p w14:paraId="75FB7CDE">
            <w:pPr>
              <w:pStyle w:val="style0"/>
              <w:spacing w:lineRule="auto" w:line="240"/>
              <w:ind w:left="457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W przypadku zakupu większej liczby magazynów energii – powyższe parametry należy odnieść do sumarycznej pojemności wszystkich nabywanych magazynów.</w:t>
            </w:r>
          </w:p>
          <w:p w14:paraId="39038488">
            <w:pPr>
              <w:pStyle w:val="style0"/>
              <w:spacing w:after="0" w:lineRule="auto" w:line="240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cs="Calibri"/>
                <w:sz w:val="20"/>
                <w:szCs w:val="20"/>
              </w:rPr>
              <w:t>Sposób weryfikacji/dokumentowania spełnienia kryterium: parametry instalacji fotowoltaicznej/turbiny wiatrowej/instalacji hybrydowej oraz nabywanego w ramach projektu magazynu energii będą oceniane na podstawie informacji zawartych w formularzu wniosku o dofinansowanie oraz załącznikach do wniosku (oferta cenowa, specyfikacja/karta techniczna)</w:t>
            </w:r>
          </w:p>
        </w:tc>
      </w:tr>
      <w:tr w14:paraId="31037520">
        <w:tblPrEx/>
        <w:trPr/>
        <w:tc>
          <w:tcPr>
            <w:tcW w:w="9498" w:type="dxa"/>
            <w:gridSpan w:val="5"/>
            <w:tcBorders/>
            <w:shd w:val="clear" w:color="auto" w:fill="fff2cc"/>
          </w:tcPr>
          <w:p w14:paraId="3DDF0D06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kryterium:</w:t>
            </w:r>
          </w:p>
        </w:tc>
      </w:tr>
      <w:tr w14:paraId="5169363A">
        <w:tblPrEx/>
        <w:trPr/>
        <w:tc>
          <w:tcPr>
            <w:tcW w:w="9498" w:type="dxa"/>
            <w:gridSpan w:val="5"/>
            <w:tcBorders/>
          </w:tcPr>
          <w:p w14:paraId="6CB10D36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5F54C07C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</w:tc>
      </w:tr>
      <w:tr w14:paraId="7E3BC185">
        <w:tblPrEx/>
        <w:trPr/>
        <w:tc>
          <w:tcPr>
            <w:tcW w:w="540" w:type="dxa"/>
            <w:tcBorders>
              <w:top w:val="single" w:sz="12" w:space="0" w:color="auto"/>
            </w:tcBorders>
          </w:tcPr>
          <w:p w14:paraId="4C523F76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lang w:eastAsia="pl-PL"/>
              </w:rPr>
              <w:t>4.</w:t>
            </w:r>
          </w:p>
        </w:tc>
        <w:tc>
          <w:tcPr>
            <w:tcW w:w="1832" w:type="dxa"/>
            <w:gridSpan w:val="2"/>
            <w:tcBorders>
              <w:top w:val="single" w:sz="12" w:space="0" w:color="auto"/>
            </w:tcBorders>
          </w:tcPr>
          <w:p w14:paraId="0A597D65">
            <w:pPr>
              <w:pStyle w:val="style0"/>
              <w:spacing w:after="0" w:lineRule="auto" w:line="24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Trwałość technologii magazynu energii</w:t>
            </w:r>
          </w:p>
        </w:tc>
        <w:tc>
          <w:tcPr>
            <w:tcW w:w="7126" w:type="dxa"/>
            <w:gridSpan w:val="2"/>
            <w:tcBorders>
              <w:top w:val="single" w:sz="12" w:space="0" w:color="auto"/>
            </w:tcBorders>
          </w:tcPr>
          <w:p w14:paraId="73D3DC70">
            <w:pPr>
              <w:pStyle w:val="style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Preferuje się magazyny energii o większej trwałości eksploatacyjnej.</w:t>
            </w:r>
          </w:p>
          <w:p w14:paraId="21BCACCD">
            <w:pPr>
              <w:pStyle w:val="style0"/>
              <w:spacing w:after="0" w:lineRule="auto" w:line="240"/>
              <w:ind w:left="216" w:hanging="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a) producent deklaruje dla oferowanego magazynu energii co najmniej 8 000 cykli pracy – </w:t>
            </w:r>
            <w:r>
              <w:rPr>
                <w:b/>
                <w:bCs/>
                <w:sz w:val="20"/>
                <w:szCs w:val="20"/>
              </w:rPr>
              <w:t>2 pkt</w:t>
            </w:r>
            <w:r>
              <w:rPr>
                <w:sz w:val="20"/>
                <w:szCs w:val="20"/>
              </w:rPr>
              <w:t>;</w:t>
            </w:r>
          </w:p>
          <w:p w14:paraId="5E3DEE8A"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b) producent deklaruje od 6 000 do 7 999 cykli pracy – </w:t>
            </w:r>
            <w:r>
              <w:rPr>
                <w:b/>
                <w:bCs/>
                <w:sz w:val="20"/>
                <w:szCs w:val="20"/>
              </w:rPr>
              <w:t>1 pkt</w:t>
            </w:r>
            <w:r>
              <w:rPr>
                <w:sz w:val="20"/>
                <w:szCs w:val="20"/>
              </w:rPr>
              <w:t>;</w:t>
            </w:r>
          </w:p>
          <w:p w14:paraId="08F51B92">
            <w:pPr>
              <w:pStyle w:val="style0"/>
              <w:spacing w:after="0" w:lineRule="auto" w:line="240"/>
              <w:ind w:left="216" w:hanging="2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c) producent deklaruje mniej niż 6 000 cykli pracy lub na podstawie dokumentacji nie można potwierdzić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liczby cykli – </w:t>
            </w:r>
            <w:r>
              <w:rPr>
                <w:b/>
                <w:bCs/>
                <w:sz w:val="20"/>
                <w:szCs w:val="20"/>
              </w:rPr>
              <w:t>0 pkt</w:t>
            </w:r>
            <w:r>
              <w:rPr>
                <w:sz w:val="20"/>
                <w:szCs w:val="20"/>
              </w:rPr>
              <w:t>.</w:t>
            </w:r>
          </w:p>
          <w:p w14:paraId="6853C9A9">
            <w:pPr>
              <w:pStyle w:val="style0"/>
              <w:spacing w:after="0" w:lineRule="auto" w:line="240"/>
              <w:rPr>
                <w:sz w:val="20"/>
                <w:szCs w:val="20"/>
              </w:rPr>
            </w:pPr>
          </w:p>
          <w:p w14:paraId="0589457F">
            <w:pPr>
              <w:pStyle w:val="style0"/>
              <w:spacing w:after="0" w:lineRule="auto" w:line="240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 xml:space="preserve"> Weryfikacja: na podstawie dokumentacji producenta dotyczącej oferowanego modelu magazynu energii. Do oceny przyjmuje się liczbę cykli deklarowaną dla głębokości rozładowania </w:t>
            </w: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>DoD</w:t>
            </w:r>
            <w:r>
              <w:rPr>
                <w:kern w:val="0"/>
                <w:sz w:val="20"/>
                <w:szCs w:val="20"/>
                <w14:ligatures xmlns:w14="http://schemas.microsoft.com/office/word/2010/wordml" w14:val="none"/>
              </w:rPr>
              <w:t xml:space="preserve"> ≥ 80% oraz pozostałej pojemności SOH ≥ 70%.</w:t>
            </w:r>
          </w:p>
        </w:tc>
      </w:tr>
      <w:tr w14:paraId="1245E57A">
        <w:tblPrEx/>
        <w:trPr/>
        <w:tc>
          <w:tcPr>
            <w:tcW w:w="9498" w:type="dxa"/>
            <w:gridSpan w:val="5"/>
            <w:tcBorders/>
            <w:shd w:val="clear" w:color="auto" w:fill="fff2cc"/>
          </w:tcPr>
          <w:p w14:paraId="557C07D9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kryterium:</w:t>
            </w:r>
          </w:p>
        </w:tc>
      </w:tr>
      <w:tr w14:paraId="64BD2B74">
        <w:tblPrEx/>
        <w:trPr/>
        <w:tc>
          <w:tcPr>
            <w:tcW w:w="9498" w:type="dxa"/>
            <w:gridSpan w:val="5"/>
            <w:tcBorders/>
          </w:tcPr>
          <w:p w14:paraId="1E814467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6029D70B">
            <w:pPr>
              <w:pStyle w:val="style0"/>
              <w:spacing w:after="0" w:lineRule="auto" w:line="240"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402BA09B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</w:tc>
      </w:tr>
      <w:bookmarkStart w:id="1" w:name="_Hlk211412085"/>
      <w:tr w14:paraId="2672D372">
        <w:tblPrEx/>
        <w:trPr/>
        <w:tc>
          <w:tcPr>
            <w:tcW w:w="540" w:type="dxa"/>
            <w:tcBorders>
              <w:top w:val="single" w:sz="12" w:space="0" w:color="auto"/>
            </w:tcBorders>
          </w:tcPr>
          <w:p w14:paraId="4838F67A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Cs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lang w:eastAsia="pl-PL"/>
              </w:rPr>
              <w:t>5.</w:t>
            </w:r>
          </w:p>
        </w:tc>
        <w:tc>
          <w:tcPr>
            <w:tcW w:w="1811" w:type="dxa"/>
            <w:gridSpan w:val="2"/>
            <w:tcBorders>
              <w:top w:val="single" w:sz="12" w:space="0" w:color="auto"/>
            </w:tcBorders>
          </w:tcPr>
          <w:p w14:paraId="4C549164">
            <w:pPr>
              <w:pStyle w:val="style0"/>
              <w:spacing w:after="0" w:lineRule="auto" w:line="240"/>
              <w:rPr>
                <w:rFonts w:cs="Calibri"/>
              </w:rPr>
            </w:pPr>
            <w:r>
              <w:rPr>
                <w:rFonts w:cs="Calibri"/>
              </w:rPr>
              <w:t>Zgodność z gminnymi dokumentami strategicznymi</w:t>
            </w:r>
          </w:p>
        </w:tc>
        <w:tc>
          <w:tcPr>
            <w:tcW w:w="7147" w:type="dxa"/>
            <w:gridSpan w:val="2"/>
            <w:tcBorders>
              <w:top w:val="single" w:sz="12" w:space="0" w:color="auto"/>
            </w:tcBorders>
          </w:tcPr>
          <w:p w14:paraId="79469717">
            <w:pPr>
              <w:pStyle w:val="style0"/>
              <w:spacing w:after="0" w:lineRule="auto" w:line="240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 xml:space="preserve">Operacja wpisuje się w aktualne gminne projekty założeń lub założenia do planów zaopatrzenia w ciepło, energię elektryczną i paliwa gazowe. </w:t>
            </w:r>
          </w:p>
          <w:p w14:paraId="241F5893">
            <w:pPr>
              <w:pStyle w:val="style0"/>
              <w:numPr>
                <w:ilvl w:val="0"/>
                <w:numId w:val="11"/>
              </w:numPr>
              <w:spacing w:after="0" w:lineRule="auto" w:line="240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 xml:space="preserve">Wnioskodawca precyzyjne wskazał w jaki sposób operacja wpisuje się z gminne projekty założeń lub założenia do planów zaopatrzenia w ciepło, energię elektryczną i paliwa gazowe- </w:t>
            </w: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1 pkt</w:t>
            </w:r>
          </w:p>
          <w:p w14:paraId="6195C5C2">
            <w:pPr>
              <w:pStyle w:val="style0"/>
              <w:numPr>
                <w:ilvl w:val="0"/>
                <w:numId w:val="11"/>
              </w:numPr>
              <w:spacing w:after="0" w:lineRule="auto" w:line="240"/>
              <w:contextualSpacing/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 xml:space="preserve">Operacja nie wpisuje się w gminne projekty założeń lub założenia do planów zaopatrzenia w ciepło, energię elektryczną i paliwa gazowe lub Wnioskodawca nie odniósł się do zapisów tych planów- </w:t>
            </w:r>
            <w:r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  <w:t>0 pkt</w:t>
            </w: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.</w:t>
            </w:r>
          </w:p>
          <w:p w14:paraId="5702EE0A">
            <w:pPr>
              <w:pStyle w:val="style0"/>
              <w:spacing w:after="0" w:lineRule="auto" w:line="240"/>
              <w:contextualSpacing/>
              <w:rPr>
                <w:rFonts w:ascii="Calibri" w:cs="Calibri Light" w:eastAsia="Calibri" w:hAnsi="Calibri"/>
                <w:b/>
                <w:sz w:val="20"/>
                <w:szCs w:val="20"/>
                <w:lang w:eastAsia="pl-PL"/>
              </w:rPr>
            </w:pPr>
            <w:r>
              <w:rPr>
                <w:rFonts w:ascii="Calibri" w:cs="Calibri Light" w:eastAsia="Calibri" w:hAnsi="Calibri"/>
                <w:bCs/>
                <w:sz w:val="20"/>
                <w:szCs w:val="20"/>
                <w:lang w:eastAsia="pl-PL"/>
              </w:rPr>
              <w:t>Weryfikacja na podstawie opisu wniosku.</w:t>
            </w:r>
          </w:p>
        </w:tc>
      </w:tr>
      <w:tr w14:paraId="4600B415">
        <w:tblPrEx/>
        <w:trPr/>
        <w:tc>
          <w:tcPr>
            <w:tcW w:w="9498" w:type="dxa"/>
            <w:gridSpan w:val="5"/>
            <w:tcBorders/>
            <w:shd w:val="clear" w:color="auto" w:fill="fff2cc"/>
          </w:tcPr>
          <w:p w14:paraId="1E267FC7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  <w:r>
              <w:rPr>
                <w:rFonts w:ascii="Calibri" w:cs="Calibri Light" w:eastAsia="Calibri" w:hAnsi="Calibri"/>
                <w:b/>
                <w:lang w:eastAsia="pl-PL"/>
              </w:rPr>
              <w:t>Uzasadnienie zgodności z kryterium:</w:t>
            </w:r>
          </w:p>
        </w:tc>
      </w:tr>
      <w:tr w14:paraId="006CBE12">
        <w:tblPrEx/>
        <w:trPr/>
        <w:tc>
          <w:tcPr>
            <w:tcW w:w="9498" w:type="dxa"/>
            <w:gridSpan w:val="5"/>
            <w:tcBorders>
              <w:bottom w:val="single" w:sz="12" w:space="0" w:color="auto"/>
            </w:tcBorders>
          </w:tcPr>
          <w:p w14:paraId="24096BB6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  <w:p w14:paraId="1875F60B">
            <w:pPr>
              <w:pStyle w:val="style0"/>
              <w:spacing w:after="0" w:lineRule="auto" w:line="276"/>
              <w:contextualSpacing/>
              <w:rPr>
                <w:rFonts w:ascii="Calibri" w:cs="Calibri Light" w:eastAsia="Calibri" w:hAnsi="Calibri"/>
                <w:b/>
                <w:lang w:eastAsia="pl-PL"/>
              </w:rPr>
            </w:pPr>
          </w:p>
        </w:tc>
      </w:tr>
      <w:bookmarkEnd w:id="1"/>
    </w:tbl>
    <w:p w14:paraId="66C4633F">
      <w:pPr>
        <w:pStyle w:val="style0"/>
        <w:spacing w:after="0"/>
        <w:ind w:left="-426"/>
        <w:rPr/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footerReference w:type="first" r:id="rId7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ee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DengXian Light"/>
    <w:panose1 w:val="00000000000000000000"/>
    <w:charset w:val="86"/>
    <w:family w:val="auto"/>
    <w:pitch w:val="variable"/>
    <w:sig w:usb0="A00002BF" w:usb1="38CF7CFA" w:usb2="00000016" w:usb3="00000000" w:csb0="0004000F" w:csb1="00000000"/>
  </w:font>
  <w:font w:name="Calibri Light">
    <w:altName w:val="Calibri Light"/>
    <w:panose1 w:val="020f0302020000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panose1 w:val="00000000000000000000"/>
    <w:charset w:val="ee"/>
    <w:family w:val="auto"/>
    <w:pitch w:val="default"/>
    <w:sig w:usb0="00000000" w:usb1="00000000" w:usb2="00000028" w:usb3="00000000" w:csb0="0000019F" w:csb1="00000000"/>
  </w:font>
  <w:font w:name="DengXian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等线 Light"/>
    <w:panose1 w:val="00000000000000000000"/>
    <w:charset w:val="00"/>
    <w:family w:val="auto"/>
    <w:pitch w:val="default"/>
    <w:sig w:usb0="E0002AFF" w:usb1="C0007841" w:usb2="00000009" w:usb3="00000000" w:csb0="000001FF" w:csb1="00000000"/>
  </w:font>
  <w:font w:name="宋体">
    <w:altName w:val="宋体"/>
    <w:panose1 w:val="02010600030001010101"/>
    <w:charset w:val="7a"/>
    <w:family w:val="auto"/>
    <w:pitch w:val="default"/>
    <w:sig w:usb0="00000003" w:usb1="080E0000" w:usb2="00000000" w:usb3="00000000" w:csb0="00040001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DAB7AD3"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C2893D7">
    <w:pPr>
      <w:pStyle w:val="style32"/>
      <w:rPr/>
    </w:pPr>
    <w:r>
      <w:rPr>
        <w:noProof/>
      </w:rPr>
      <w:drawing>
        <wp:anchor distT="0" distB="0" distL="0" distR="0" simplePos="false" relativeHeight="8" behindDoc="false" locked="false" layoutInCell="true" allowOverlap="true">
          <wp:simplePos x="0" y="0"/>
          <wp:positionH relativeFrom="column">
            <wp:posOffset>4872355</wp:posOffset>
          </wp:positionH>
          <wp:positionV relativeFrom="paragraph">
            <wp:posOffset>-241934</wp:posOffset>
          </wp:positionV>
          <wp:extent cx="914400" cy="309245"/>
          <wp:effectExtent l="0" t="0" r="0" b="0"/>
          <wp:wrapNone/>
          <wp:docPr id="4097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914400" cy="309245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6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6A788A4">
    <w:pPr>
      <w:pStyle w:val="style0"/>
      <w:spacing w:after="120" w:lineRule="auto" w:line="276"/>
      <w:jc w:val="center"/>
      <w:rPr>
        <w:rFonts w:ascii="Open Sans Medium" w:cs="Open Sans Medium" w:eastAsia="Calibri" w:hAnsi="Open Sans Medium"/>
      </w:rPr>
    </w:pPr>
    <w:r>
      <w:rPr>
        <w:noProof/>
      </w:rPr>
      <w:drawing>
        <wp:anchor distT="0" distB="0" distL="0" distR="0" simplePos="false" relativeHeight="7" behindDoc="false" locked="false" layoutInCell="true" allowOverlap="true">
          <wp:simplePos x="0" y="0"/>
          <wp:positionH relativeFrom="column">
            <wp:posOffset>5139055</wp:posOffset>
          </wp:positionH>
          <wp:positionV relativeFrom="paragraph">
            <wp:posOffset>-93980</wp:posOffset>
          </wp:positionV>
          <wp:extent cx="914400" cy="309245"/>
          <wp:effectExtent l="0" t="0" r="0" b="0"/>
          <wp:wrapNone/>
          <wp:docPr id="4099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5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914400" cy="309245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false" relativeHeight="6" behindDoc="false" locked="false" layoutInCell="true" allowOverlap="true">
              <wp:simplePos x="0" y="0"/>
              <wp:positionH relativeFrom="page">
                <wp:posOffset>193040</wp:posOffset>
              </wp:positionH>
              <wp:positionV relativeFrom="paragraph">
                <wp:posOffset>9843135</wp:posOffset>
              </wp:positionV>
              <wp:extent cx="7174230" cy="0"/>
              <wp:effectExtent l="0" t="0" r="0" b="0"/>
              <wp:wrapNone/>
              <wp:docPr id="4100" name="Łącznik prosty 6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7174230" cy="0"/>
                      </a:xfrm>
                      <a:prstGeom prst="line"/>
                      <a:ln cmpd="sng" cap="flat" w="3175">
                        <a:solidFill>
                          <a:srgbClr val="000000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</wp:anchor>
          </w:drawing>
        </mc:Choice>
        <mc:Fallback>
          <w:pict>
            <v:line id="4100" filled="f" stroked="t" from="15.2pt,775.05005pt" to="580.10004pt,775.05005pt" style="position:absolute;z-index:6;mso-position-horizontal-relative:page;mso-position-vertical-relative:text;mso-width-relative:page;mso-height-relative:page;mso-wrap-distance-left:0.0pt;mso-wrap-distance-right:0.0pt;visibility:visible;">
              <v:stroke joinstyle="miter" weight="0.25pt"/>
              <v:fill/>
            </v:line>
          </w:pict>
        </mc:Fallback>
      </mc:AlternateContent>
    </w:r>
    <w:r>
      <w:rPr>
        <w:rFonts w:ascii="Open Sans Medium" w:cs="Open Sans Medium" w:eastAsia="Calibri" w:hAnsi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0" distB="0" distL="0" distR="0" simplePos="false" relativeHeight="5" behindDoc="false" locked="false" layoutInCell="true" allowOverlap="tru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3" cy="294005"/>
              <wp:effectExtent l="0" t="0" r="3175" b="0"/>
              <wp:wrapNone/>
              <wp:docPr id="4101" name="Pole tekstowe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7559673" cy="294005"/>
                      </a:xfrm>
                      <a:prstGeom prst="rect"/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 id="4101">
                      <w:txbxContent>
                        <w:p w14:paraId="1D68BAE2">
                          <w:pPr>
                            <w:pStyle w:val="style0"/>
                            <w:jc w:val="center"/>
                            <w:rPr>
                              <w:rFonts w:ascii="Open Sans Medium" w:cs="Open Sans Medium" w:hAnsi="Open Sans Medium"/>
                            </w:rPr>
                          </w:pPr>
                          <w:r>
                            <w:rPr>
                              <w:rFonts w:ascii="Open Sans Medium" w:cs="Open Sans Medium" w:hAnsi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ect id="4101" fillcolor="white" stroked="f" style="position:absolute;margin-left:-0.1pt;margin-top:799.7pt;width:595.25pt;height:23.15pt;z-index:5;mso-position-horizontal-relative:page;mso-position-vertical-relative:text;mso-width-percent:0;mso-height-percent:200;mso-width-relative:page;mso-height-relative:margin;mso-wrap-distance-left:0.0pt;mso-wrap-distance-right:0.0pt;visibility:visible;">
              <v:stroke on="f"/>
              <v:fill/>
              <v:textbox inset="7.2pt,3.6pt,7.2pt,3.6pt" style="mso-fit-shape-to-text:true;">
                <w:txbxContent>
                  <w:p w14:paraId="1D68BAE2">
                    <w:pPr>
                      <w:pStyle w:val="style0"/>
                      <w:jc w:val="center"/>
                      <w:rPr>
                        <w:rFonts w:ascii="Open Sans Medium" w:cs="Open Sans Medium" w:hAnsi="Open Sans Medium"/>
                      </w:rPr>
                    </w:pPr>
                    <w:r>
                      <w:rPr>
                        <w:rFonts w:ascii="Open Sans Medium" w:cs="Open Sans Medium" w:hAnsi="Open Sans Medium"/>
                      </w:rPr>
                      <w:t>Fundusze Europejskie dla Pomorza 2021-2027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4" behindDoc="false" locked="false" layoutInCell="true" allowOverlap="tru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3" cy="294005"/>
              <wp:effectExtent l="0" t="0" r="3175" b="0"/>
              <wp:wrapNone/>
              <wp:docPr id="4102" name="Pole tekstowe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7559673" cy="294005"/>
                      </a:xfrm>
                      <a:prstGeom prst="rect"/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 id="4102">
                      <w:txbxContent>
                        <w:p w14:paraId="14088BF7">
                          <w:pPr>
                            <w:pStyle w:val="style0"/>
                            <w:jc w:val="center"/>
                            <w:rPr>
                              <w:rFonts w:ascii="Open Sans Medium" w:cs="Open Sans Medium" w:hAnsi="Open Sans Medium"/>
                            </w:rPr>
                          </w:pPr>
                          <w:r>
                            <w:rPr>
                              <w:rFonts w:ascii="Open Sans Medium" w:cs="Open Sans Medium" w:hAnsi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ect id="4102" fillcolor="white" stroked="f" style="position:absolute;margin-left:-0.1pt;margin-top:799.7pt;width:595.25pt;height:23.15pt;z-index:4;mso-position-horizontal-relative:page;mso-position-vertical-relative:text;mso-width-percent:0;mso-height-percent:200;mso-width-relative:page;mso-height-relative:margin;mso-wrap-distance-left:0.0pt;mso-wrap-distance-right:0.0pt;visibility:visible;">
              <v:stroke on="f"/>
              <v:fill/>
              <v:textbox inset="7.2pt,3.6pt,7.2pt,3.6pt" style="mso-fit-shape-to-text:true;">
                <w:txbxContent>
                  <w:p w14:paraId="14088BF7">
                    <w:pPr>
                      <w:pStyle w:val="style0"/>
                      <w:jc w:val="center"/>
                      <w:rPr>
                        <w:rFonts w:ascii="Open Sans Medium" w:cs="Open Sans Medium" w:hAnsi="Open Sans Medium"/>
                      </w:rPr>
                    </w:pPr>
                    <w:r>
                      <w:rPr>
                        <w:rFonts w:ascii="Open Sans Medium" w:cs="Open Sans Medium" w:hAnsi="Open Sans Medium"/>
                      </w:rPr>
                      <w:t>Fundusze Europejskie dla Pomorza 2021-2027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3" behindDoc="false" locked="false" layoutInCell="true" allowOverlap="tru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3" cy="294005"/>
              <wp:effectExtent l="0" t="0" r="3175" b="0"/>
              <wp:wrapNone/>
              <wp:docPr id="4103" name="Pole tekstowe 217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7559673" cy="294005"/>
                      </a:xfrm>
                      <a:prstGeom prst="rect"/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 id="4103">
                      <w:txbxContent>
                        <w:p w14:paraId="1D48EDEB">
                          <w:pPr>
                            <w:pStyle w:val="style0"/>
                            <w:jc w:val="center"/>
                            <w:rPr>
                              <w:rFonts w:ascii="Open Sans Medium" w:cs="Open Sans Medium" w:hAnsi="Open Sans Medium"/>
                            </w:rPr>
                          </w:pPr>
                          <w:r>
                            <w:rPr>
                              <w:rFonts w:ascii="Open Sans Medium" w:cs="Open Sans Medium" w:hAnsi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rect id="4103" fillcolor="white" stroked="f" style="position:absolute;margin-left:-0.1pt;margin-top:799.7pt;width:595.25pt;height:23.15pt;z-index:3;mso-position-horizontal-relative:page;mso-position-vertical-relative:text;mso-width-percent:0;mso-height-percent:200;mso-width-relative:page;mso-height-relative:margin;mso-wrap-distance-left:0.0pt;mso-wrap-distance-right:0.0pt;visibility:visible;">
              <v:stroke on="f"/>
              <v:fill/>
              <v:textbox inset="7.2pt,3.6pt,7.2pt,3.6pt" style="mso-fit-shape-to-text:true;">
                <w:txbxContent>
                  <w:p w14:paraId="1D48EDEB">
                    <w:pPr>
                      <w:pStyle w:val="style0"/>
                      <w:jc w:val="center"/>
                      <w:rPr>
                        <w:rFonts w:ascii="Open Sans Medium" w:cs="Open Sans Medium" w:hAnsi="Open Sans Medium"/>
                      </w:rPr>
                    </w:pPr>
                    <w:r>
                      <w:rPr>
                        <w:rFonts w:ascii="Open Sans Medium" w:cs="Open Sans Medium" w:hAnsi="Open Sans Medium"/>
                      </w:rPr>
                      <w:t>Fundusze Europejskie dla Pomorza 2021-2027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footnote w:id="1">
    <w:p w14:paraId="7F7EC18D">
      <w:pPr>
        <w:pStyle w:val="style29"/>
        <w:rPr/>
      </w:pPr>
      <w:r>
        <w:rPr>
          <w:rStyle w:val="style38"/>
        </w:rPr>
        <w:footnoteRef/>
      </w:r>
      <w:r>
        <w:t xml:space="preserve"> </w:t>
      </w:r>
      <w:r>
        <w:rPr>
          <w:rStyle w:val="style38"/>
          <w:rFonts w:cs="Calibri"/>
        </w:rPr>
        <w:footnoteRef/>
      </w:r>
      <w:r>
        <w:rPr>
          <w:rFonts w:cs="Calibri"/>
        </w:rPr>
        <w:t xml:space="preserve"> W przypadku przekroczenia wskazanej w kryterium </w:t>
      </w:r>
      <w:r>
        <w:rPr>
          <w:rFonts w:cs="Calibri"/>
        </w:rPr>
        <w:t xml:space="preserve">e </w:t>
      </w:r>
      <w:r>
        <w:rPr>
          <w:rFonts w:cs="Calibri"/>
        </w:rPr>
        <w:t>kwoty za 1 kWh, zostanie ona zmniejszona przez LGD do powyższego warunku udzielenia wsparcia na etapie ustalenia kwoty wsparcia.</w:t>
      </w:r>
    </w:p>
  </w:footnote>
</w:footnote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92924D5"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88446E9"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40F0069">
    <w:pPr>
      <w:pStyle w:val="style31"/>
      <w:jc w:val="center"/>
      <w:rPr/>
    </w:pPr>
    <w:r>
      <w:rPr>
        <w:noProof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4098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7347585" cy="687705"/>
                  </a:xfrm>
                  <a:prstGeom prst="rect"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EAF7A8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multilevel"/>
    <w:tmpl w:val="2F8E27F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5A3AF0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multilevel"/>
    <w:tmpl w:val="4149593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727C9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1D360A86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fals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668EC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DCBCBDBC"/>
    <w:lvl w:ilvl="0" w:tplc="04150001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4" w:hanging="360"/>
      </w:pPr>
      <w:rPr>
        <w:rFonts w:ascii="Courier New" w:cs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4" w:hanging="360"/>
      </w:pPr>
      <w:rPr>
        <w:rFonts w:ascii="Courier New" w:cs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4" w:hanging="360"/>
      </w:pPr>
      <w:rPr>
        <w:rFonts w:ascii="Courier New" w:cs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6B0D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8C147F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multilevel"/>
    <w:tmpl w:val="7EF672BD"/>
    <w:lvl w:ilvl="0">
      <w:start w:val="1"/>
      <w:numFmt w:val="lowerLetter"/>
      <w:lvlText w:val="%1)"/>
      <w:lvlJc w:val="left"/>
      <w:pPr>
        <w:ind w:left="95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79" w:hanging="360"/>
      </w:pPr>
    </w:lvl>
    <w:lvl w:ilvl="2">
      <w:start w:val="1"/>
      <w:numFmt w:val="lowerRoman"/>
      <w:lvlText w:val="%3."/>
      <w:lvlJc w:val="right"/>
      <w:pPr>
        <w:ind w:left="2399" w:hanging="180"/>
      </w:pPr>
    </w:lvl>
    <w:lvl w:ilvl="3">
      <w:start w:val="1"/>
      <w:numFmt w:val="decimal"/>
      <w:lvlText w:val="%4."/>
      <w:lvlJc w:val="left"/>
      <w:pPr>
        <w:ind w:left="3119" w:hanging="360"/>
      </w:pPr>
    </w:lvl>
    <w:lvl w:ilvl="4">
      <w:start w:val="1"/>
      <w:numFmt w:val="lowerLetter"/>
      <w:lvlText w:val="%5."/>
      <w:lvlJc w:val="left"/>
      <w:pPr>
        <w:ind w:left="3839" w:hanging="360"/>
      </w:pPr>
    </w:lvl>
    <w:lvl w:ilvl="5">
      <w:start w:val="1"/>
      <w:numFmt w:val="lowerRoman"/>
      <w:lvlText w:val="%6."/>
      <w:lvlJc w:val="right"/>
      <w:pPr>
        <w:ind w:left="4559" w:hanging="180"/>
      </w:pPr>
    </w:lvl>
    <w:lvl w:ilvl="6">
      <w:start w:val="1"/>
      <w:numFmt w:val="decimal"/>
      <w:lvlText w:val="%7."/>
      <w:lvlJc w:val="left"/>
      <w:pPr>
        <w:ind w:left="5279" w:hanging="360"/>
      </w:pPr>
    </w:lvl>
    <w:lvl w:ilvl="7">
      <w:start w:val="1"/>
      <w:numFmt w:val="lowerLetter"/>
      <w:lvlText w:val="%8."/>
      <w:lvlJc w:val="left"/>
      <w:pPr>
        <w:ind w:left="5999" w:hanging="360"/>
      </w:pPr>
    </w:lvl>
    <w:lvl w:ilvl="8">
      <w:start w:val="1"/>
      <w:numFmt w:val="lowerRoman"/>
      <w:lvlText w:val="%9."/>
      <w:lvlJc w:val="right"/>
      <w:pPr>
        <w:ind w:left="6719" w:hanging="180"/>
      </w:p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lang w:val="pl-PL" w:bidi="ar-SA" w:eastAsia="pl-PL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160" w:lineRule="auto" w:line="259"/>
    </w:pPr>
    <w:rPr>
      <w:sz w:val="22"/>
      <w:szCs w:val="22"/>
      <w:lang w:eastAsia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100"/>
    <w:qFormat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styleId="style39">
    <w:name w:val="annotation reference"/>
    <w:basedOn w:val="style65"/>
    <w:next w:val="style39"/>
    <w:qFormat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098"/>
    <w:qFormat/>
    <w:uiPriority w:val="99"/>
    <w:pPr>
      <w:spacing w:lineRule="auto" w:line="240"/>
    </w:pPr>
    <w:rPr>
      <w:sz w:val="20"/>
      <w:szCs w:val="20"/>
    </w:rPr>
  </w:style>
  <w:style w:type="paragraph" w:styleId="style106">
    <w:name w:val="annotation subject"/>
    <w:basedOn w:val="style30"/>
    <w:next w:val="style30"/>
    <w:link w:val="style4099"/>
    <w:uiPriority w:val="99"/>
    <w:pPr/>
    <w:rPr>
      <w:b/>
      <w:bCs/>
    </w:rPr>
  </w:style>
  <w:style w:type="character" w:styleId="style86">
    <w:name w:val="FollowedHyperlink"/>
    <w:basedOn w:val="style65"/>
    <w:next w:val="style86"/>
    <w:qFormat/>
    <w:uiPriority w:val="99"/>
    <w:rPr>
      <w:color w:val="954f72"/>
      <w:u w:val="single"/>
    </w:rPr>
  </w:style>
  <w:style w:type="paragraph" w:styleId="style32">
    <w:name w:val="footer"/>
    <w:basedOn w:val="style0"/>
    <w:next w:val="style32"/>
    <w:link w:val="style4104"/>
    <w:qFormat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styleId="style38">
    <w:name w:val="footnote reference"/>
    <w:next w:val="style38"/>
    <w:qFormat/>
    <w:uiPriority w:val="99"/>
    <w:rPr>
      <w:vertAlign w:val="superscript"/>
    </w:rPr>
  </w:style>
  <w:style w:type="paragraph" w:styleId="style29">
    <w:name w:val="footnote text"/>
    <w:basedOn w:val="style0"/>
    <w:next w:val="style29"/>
    <w:link w:val="style4097"/>
    <w:uiPriority w:val="99"/>
    <w:pPr>
      <w:spacing w:after="0" w:lineRule="auto" w:line="240"/>
    </w:pPr>
    <w:rPr>
      <w:rFonts w:ascii="Times New Roman" w:cs="Times New Roman" w:eastAsia="Times New Roman" w:hAnsi="Times New Roman"/>
      <w:sz w:val="20"/>
      <w:szCs w:val="20"/>
      <w:lang w:eastAsia="pl-PL"/>
    </w:rPr>
  </w:style>
  <w:style w:type="paragraph" w:styleId="style31">
    <w:name w:val="header"/>
    <w:basedOn w:val="style0"/>
    <w:next w:val="style31"/>
    <w:link w:val="style4103"/>
    <w:uiPriority w:val="99"/>
    <w:pPr>
      <w:tabs>
        <w:tab w:val="center" w:leader="none" w:pos="4536"/>
        <w:tab w:val="right" w:leader="none" w:pos="9072"/>
      </w:tabs>
      <w:spacing w:after="0" w:lineRule="auto" w:line="240"/>
    </w:pPr>
    <w:rPr/>
  </w:style>
  <w:style w:type="character" w:styleId="style85">
    <w:name w:val="Hyperlink"/>
    <w:basedOn w:val="style65"/>
    <w:next w:val="style85"/>
    <w:qFormat/>
    <w:uiPriority w:val="99"/>
    <w:rPr>
      <w:color w:val="0563c1"/>
      <w:u w:val="single"/>
    </w:rPr>
  </w:style>
  <w:style w:type="table" w:styleId="style154">
    <w:name w:val="Table Grid"/>
    <w:basedOn w:val="style105"/>
    <w:next w:val="style154"/>
    <w:qFormat/>
    <w:uiPriority w:val="39"/>
    <w:pPr/>
    <w:rPr>
      <w:kern w:val="2"/>
      <w14:ligatures xmlns:w14="http://schemas.microsoft.com/office/word/2010/wordml"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customStyle="1" w:styleId="style4097">
    <w:name w:val="Tekst przypisu dolnego Znak"/>
    <w:basedOn w:val="style65"/>
    <w:next w:val="style4097"/>
    <w:link w:val="style29"/>
    <w:qFormat/>
    <w:uiPriority w:val="99"/>
    <w:rPr>
      <w:rFonts w:ascii="Times New Roman" w:cs="Times New Roman" w:eastAsia="Times New Roman" w:hAnsi="Times New Roman"/>
      <w:sz w:val="20"/>
      <w:szCs w:val="20"/>
      <w:lang w:eastAsia="pl-PL"/>
    </w:rPr>
  </w:style>
  <w:style w:type="paragraph" w:styleId="style179">
    <w:name w:val="List Paragraph"/>
    <w:basedOn w:val="style0"/>
    <w:next w:val="style179"/>
    <w:link w:val="style4105"/>
    <w:qFormat/>
    <w:uiPriority w:val="34"/>
    <w:pPr>
      <w:ind w:left="720"/>
      <w:contextualSpacing/>
    </w:pPr>
    <w:rPr/>
  </w:style>
  <w:style w:type="character" w:customStyle="1" w:styleId="style4098">
    <w:name w:val="Tekst komentarza Znak"/>
    <w:basedOn w:val="style65"/>
    <w:next w:val="style4098"/>
    <w:link w:val="style30"/>
    <w:qFormat/>
    <w:uiPriority w:val="99"/>
    <w:rPr>
      <w:sz w:val="20"/>
      <w:szCs w:val="20"/>
    </w:rPr>
  </w:style>
  <w:style w:type="character" w:customStyle="1" w:styleId="style4099">
    <w:name w:val="Temat komentarza Znak"/>
    <w:basedOn w:val="style4098"/>
    <w:next w:val="style4099"/>
    <w:link w:val="style106"/>
    <w:qFormat/>
    <w:uiPriority w:val="99"/>
    <w:rPr>
      <w:b/>
      <w:bCs/>
      <w:sz w:val="20"/>
      <w:szCs w:val="20"/>
    </w:rPr>
  </w:style>
  <w:style w:type="character" w:customStyle="1" w:styleId="style4100">
    <w:name w:val="Tekst dymka Znak"/>
    <w:basedOn w:val="style65"/>
    <w:next w:val="style4100"/>
    <w:link w:val="style153"/>
    <w:qFormat/>
    <w:uiPriority w:val="99"/>
    <w:rPr>
      <w:rFonts w:ascii="Segoe UI" w:cs="Segoe UI" w:hAnsi="Segoe UI"/>
      <w:sz w:val="18"/>
      <w:szCs w:val="18"/>
    </w:rPr>
  </w:style>
  <w:style w:type="character" w:customStyle="1" w:styleId="style4101">
    <w:name w:val="Nierozpoznana wzmianka1"/>
    <w:basedOn w:val="style65"/>
    <w:next w:val="style4101"/>
    <w:qFormat/>
    <w:uiPriority w:val="99"/>
    <w:rPr>
      <w:color w:val="605e5c"/>
      <w:shd w:val="clear" w:color="auto" w:fill="e1dfdd"/>
    </w:rPr>
  </w:style>
  <w:style w:type="paragraph" w:customStyle="1" w:styleId="style4102">
    <w:name w:val="Poprawka1"/>
    <w:next w:val="style4102"/>
    <w:qFormat/>
    <w:uiPriority w:val="99"/>
    <w:pPr/>
    <w:rPr>
      <w:sz w:val="22"/>
      <w:szCs w:val="22"/>
      <w:lang w:eastAsia="en-US"/>
    </w:rPr>
  </w:style>
  <w:style w:type="character" w:customStyle="1" w:styleId="style4103">
    <w:name w:val="Nagłówek Znak"/>
    <w:basedOn w:val="style65"/>
    <w:next w:val="style4103"/>
    <w:link w:val="style31"/>
    <w:qFormat/>
    <w:uiPriority w:val="99"/>
  </w:style>
  <w:style w:type="character" w:customStyle="1" w:styleId="style4104">
    <w:name w:val="Stopka Znak"/>
    <w:basedOn w:val="style65"/>
    <w:next w:val="style4104"/>
    <w:link w:val="style32"/>
    <w:qFormat/>
    <w:uiPriority w:val="99"/>
  </w:style>
  <w:style w:type="paragraph" w:styleId="style178">
    <w:name w:val="Revision"/>
    <w:next w:val="style178"/>
    <w:uiPriority w:val="99"/>
    <w:pPr/>
    <w:rPr>
      <w:sz w:val="22"/>
      <w:szCs w:val="22"/>
      <w:lang w:eastAsia="en-US"/>
    </w:rPr>
  </w:style>
  <w:style w:type="character" w:customStyle="1" w:styleId="style4105">
    <w:name w:val="Akapit z listą Znak"/>
    <w:basedOn w:val="style65"/>
    <w:next w:val="style4105"/>
    <w:link w:val="style179"/>
    <w:qFormat/>
    <w:uiPriority w:val="34"/>
    <w:rPr>
      <w:sz w:val="22"/>
      <w:szCs w:val="22"/>
      <w:lang w:eastAsia="en-US"/>
    </w:rPr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settings" Target="settings.xml"/><Relationship Id="rId10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9" Type="http://schemas.openxmlformats.org/officeDocument/2006/relationships/styles" Target="styles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footer" Target="footer6.xml"/><Relationship Id="rId8" Type="http://schemas.openxmlformats.org/officeDocument/2006/relationships/footnotes" Target="footnotes.xml"/></Relationships>
</file>

<file path=word/_rels/footer4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_rels/footer6.xml.rels><?xml version="1.0" encoding="UTF-8"?>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��
</file>

<file path=customXml/itemProps1.xml><?xml version="1.0" encoding="utf-8"?>
<ds:datastoreItem xmlns:ds="http://schemas.openxmlformats.org/officeDocument/2006/customXml" ds:itemID="{07AF0392-CA4F-430C-AE61-BF1D2C1B8E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BFFF5110-02F3-4899-8290-6D2BE152D3B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1238</Words>
  <Pages>5</Pages>
  <Characters>8222</Characters>
  <Application>WPS Office</Application>
  <DocSecurity>0</DocSecurity>
  <Paragraphs>204</Paragraphs>
  <ScaleCrop>false</ScaleCrop>
  <Company>Urzad Marszalkowski Wojewodztwa Pomorskiego</Company>
  <LinksUpToDate>false</LinksUpToDate>
  <CharactersWithSpaces>9485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2026-10-26T10:58:00Z</dcterms:created>
  <dc:creator>Skierka Joanna</dc:creator>
  <keywords>uchwała ZWP; regulamin wyboru projektów</keywords>
  <lastModifiedBy>SM-S926B</lastModifiedBy>
  <lastPrinted>2023-03-07T07:57:00Z</lastPrinted>
  <dcterms:modified xsi:type="dcterms:W3CDTF">2026-10-26T16:52:52Z</dcterms:modified>
  <revision>3</revision>
  <dc:subject>Regulamin wyboru projektów - nabór dla Dz. 2.12. (woda) - Zał. 2.1</dc:subject>
  <dc:title>Załącznik do uchwały nr 1407/41/24 ZWP z dn. 14.11.2024 r.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1045-12.2.0.19821</vt:lpwstr>
  </property>
  <property fmtid="{D5CDD505-2E9C-101B-9397-08002B2CF9AE}" pid="3" name="ICV">
    <vt:lpwstr>0e69ae3e3f934f7c925d5fc6ea21d36a_23</vt:lpwstr>
  </property>
</Properties>
</file>